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ind w:firstLine="766" w:firstLineChars="213"/>
        <w:rPr>
          <w:rFonts w:ascii="仿宋" w:hAnsi="仿宋" w:eastAsia="仿宋" w:cs="仿宋"/>
          <w:color w:val="000000"/>
          <w:sz w:val="36"/>
          <w:szCs w:val="36"/>
        </w:rPr>
      </w:pPr>
    </w:p>
    <w:p>
      <w:pPr>
        <w:pStyle w:val="3"/>
        <w:widowControl/>
        <w:spacing w:before="0" w:beforeAutospacing="0" w:after="0" w:afterAutospacing="0" w:line="62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color w:val="000000"/>
          <w:kern w:val="2"/>
          <w:sz w:val="36"/>
          <w:szCs w:val="36"/>
        </w:rPr>
        <w:t>中国老龄协会2020年度老龄政策理论研究课题评奖结果</w:t>
      </w:r>
    </w:p>
    <w:p/>
    <w:tbl>
      <w:tblPr>
        <w:tblStyle w:val="5"/>
        <w:tblW w:w="14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1"/>
        <w:gridCol w:w="1175"/>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9" w:type="dxa"/>
            <w:gridSpan w:val="3"/>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一等奖（3项）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课题名称</w:t>
            </w:r>
          </w:p>
        </w:tc>
        <w:tc>
          <w:tcPr>
            <w:tcW w:w="1175"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负责人</w:t>
            </w:r>
          </w:p>
        </w:tc>
        <w:tc>
          <w:tcPr>
            <w:tcW w:w="35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后疫情时代老年群体社区卫生</w:t>
            </w:r>
            <w:bookmarkStart w:id="0" w:name="_GoBack"/>
            <w:bookmarkEnd w:id="0"/>
            <w:r>
              <w:rPr>
                <w:rFonts w:hint="eastAsia" w:ascii="宋体" w:hAnsi="宋体" w:cs="宋体"/>
                <w:sz w:val="30"/>
                <w:szCs w:val="30"/>
              </w:rPr>
              <w:t>应急治理体系研究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郝晓宁</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国家卫生健康委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长期护理保险制度试点成效评估及建设路径研究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康　蕊</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中国社会科学院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基于数据平台的整合式社区居家养老服务体系构建研究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彭希哲</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9" w:type="dxa"/>
            <w:gridSpan w:val="3"/>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二等奖（6项）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课题名称</w:t>
            </w:r>
          </w:p>
        </w:tc>
        <w:tc>
          <w:tcPr>
            <w:tcW w:w="1175"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负责人</w:t>
            </w:r>
          </w:p>
        </w:tc>
        <w:tc>
          <w:tcPr>
            <w:tcW w:w="35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失能老年人长期照护的需求规模评估、费用测算与兜底保障机制研究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汪连杰</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基于中国老年人健康评估的照护服务需求与照护政策研究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高  瑗</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首都经济贸易大学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中国老年人失能状况与政策分析</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伍小兰</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中国老龄科学研究中心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中国老年人生命质量的变动规律、影响因素及干预对策研究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宋靓珺</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长期护理保险制度的国际经验与建设路径研究——基于 29 个样本城市的清晰集与多值集的双重检测</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杨一帆</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西南交通大学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健康老龄化评估指标体系研究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周建芳</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南京邮电大学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9" w:type="dxa"/>
            <w:gridSpan w:val="3"/>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三等奖（9项）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课题名称</w:t>
            </w:r>
          </w:p>
        </w:tc>
        <w:tc>
          <w:tcPr>
            <w:tcW w:w="1175"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负责人</w:t>
            </w:r>
          </w:p>
        </w:tc>
        <w:tc>
          <w:tcPr>
            <w:tcW w:w="35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在“居家社区机构相协调、医养康养相结合”的大格局中设计医养结合——深入推进医养结合的难点及对策研究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石人炳</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健康中国视角下农村老人失智现状、影响因素及照护需求研究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王　婧</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社区老年心理健康教育与健康促进措施研究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王华丽</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我国老年人失能情况、影响因素及照料政策研究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赵耀辉</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基于社区养老理念的城市老旧小区适老化空间优化策略研究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程世丹</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深入推进医养结合中的难点及对策研究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沙吉祥</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广州市华南医养融合研究院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失能老人照护资源需求分析与对策研究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成　前</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国家卫生健康委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基于健康老龄化战略的老龄健康影响机制与干预政策研究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吴玉锋</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 xml:space="preserve">医养结合需求-供给耦合的评估模型与创新机制研究——以江西省医养结合平台搭建为例                      </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朱大伦</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南昌工学院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9" w:type="dxa"/>
            <w:gridSpan w:val="3"/>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优秀奖（12项）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课题名称</w:t>
            </w:r>
          </w:p>
        </w:tc>
        <w:tc>
          <w:tcPr>
            <w:tcW w:w="1175"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负责人</w:t>
            </w:r>
          </w:p>
        </w:tc>
        <w:tc>
          <w:tcPr>
            <w:tcW w:w="35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b/>
                <w:sz w:val="30"/>
                <w:szCs w:val="30"/>
              </w:rPr>
            </w:pPr>
            <w:r>
              <w:rPr>
                <w:rFonts w:hint="eastAsia" w:ascii="宋体" w:hAnsi="宋体" w:cs="宋体"/>
                <w:b/>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基于健康社会学模型的老年人多重慢病健康管理模式研究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张持晨</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南方医科大学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健康养老产业发展趋势、思路与政策研究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丁文珺</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武汉发展战略研究院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社区老年健康服务资源优化配置研究——基于粤港澳大湾区协同发展的视角</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程利娜</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五邑大学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农村贫困老年人精准健康扶贫实践创新及路径构建研究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韩振秋</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北京社会管理职业学院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我国失能老人长期照护现状及对策研究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卢春天</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城市社区医养结合服务模式比较与优化路径研究——以北京市为例</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车　峰</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中央民族大学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社会保障制度支持衔接社区居家型医养结合服务的难点及对策研究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阳义南</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健康扶贫视角下西南地区残疾老人家庭贫困脆弱性测度及政策扶持研究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李　青</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广西医科大学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后疫情时代大学生志愿服务参与社区老年健康教育和健康促进研究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朱　杰</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无锡商业职业技术学院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后疫情时代老年群体公共卫生安全、健康服务及应急响应机制研究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邱泽森</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江苏省卫生健康委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医养结合体系设计与政府管制重构研究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张　莹</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大连医科大学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社区老年健康教育和健康促进措施研究</w:t>
            </w:r>
          </w:p>
        </w:tc>
        <w:tc>
          <w:tcPr>
            <w:tcW w:w="11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杨玉春</w:t>
            </w:r>
          </w:p>
        </w:tc>
        <w:tc>
          <w:tcPr>
            <w:tcW w:w="357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30"/>
                <w:szCs w:val="30"/>
              </w:rPr>
            </w:pPr>
            <w:r>
              <w:rPr>
                <w:rFonts w:hint="eastAsia" w:ascii="宋体" w:hAnsi="宋体" w:cs="宋体"/>
                <w:sz w:val="30"/>
                <w:szCs w:val="30"/>
              </w:rPr>
              <w:t>北京师范大学</w:t>
            </w:r>
          </w:p>
        </w:tc>
      </w:tr>
    </w:tbl>
    <w:p>
      <w:pPr>
        <w:pStyle w:val="3"/>
        <w:widowControl/>
        <w:autoSpaceDE w:val="0"/>
        <w:spacing w:before="0" w:beforeAutospacing="0" w:after="0" w:afterAutospacing="0" w:line="520" w:lineRule="exact"/>
        <w:ind w:firstLine="766" w:firstLineChars="213"/>
        <w:rPr>
          <w:rFonts w:ascii="仿宋" w:hAnsi="仿宋" w:eastAsia="仿宋"/>
          <w:sz w:val="36"/>
          <w:szCs w:val="36"/>
        </w:rPr>
      </w:pPr>
    </w:p>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3259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A0C20"/>
    <w:rsid w:val="0C6A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nhideWhenUsed/>
    <w:uiPriority w:val="99"/>
    <w:pPr>
      <w:spacing w:before="100" w:beforeAutospacing="1" w:after="100" w:afterAutospacing="1"/>
      <w:jc w:val="left"/>
    </w:pPr>
    <w:rPr>
      <w:rFonts w:ascii="Calibri" w:hAnsi="Calibri" w:cs="Calibri"/>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2021-01-14T07:00:00Z</dcterms:created>
  <dc:creator>J☆Hu</dc:creator>
  <cp:lastModifiedBy>J☆Hu</cp:lastModifiedBy>
  <dcterms:modified xsi:type="dcterms:W3CDTF">2021-01-14T07:02:26Z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