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0"/>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37"/>
        <w:gridCol w:w="88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37" w:type="dxa"/>
            <w:vAlign w:val="top"/>
          </w:tcPr>
          <w:p>
            <w:pPr>
              <w:pStyle w:val="19"/>
              <w:framePr w:wrap="notBeside" w:vAnchor="page" w:hAnchor="page" w:x="1372" w:y="568"/>
              <w:spacing w:line="240" w:lineRule="auto"/>
              <w:ind w:firstLine="0" w:firstLineChars="0"/>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27" w:type="dxa"/>
            <w:vAlign w:val="top"/>
          </w:tcPr>
          <w:p>
            <w:pPr>
              <w:pStyle w:val="19"/>
              <w:framePr w:wrap="notBeside" w:vAnchor="page" w:hAnchor="page" w:x="1372" w:y="568"/>
              <w:tabs>
                <w:tab w:val="clear" w:pos="4153"/>
                <w:tab w:val="clear" w:pos="8306"/>
              </w:tabs>
              <w:spacing w:line="240" w:lineRule="auto"/>
              <w:ind w:left="3"/>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03.080.99</w:t>
            </w:r>
            <w:r>
              <w:rPr>
                <w:rFonts w:ascii="黑体" w:hAnsi="黑体" w:eastAsia="黑体"/>
                <w:sz w:val="21"/>
                <w:szCs w:val="21"/>
              </w:rPr>
              <w:fldChar w:fldCharType="end"/>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37" w:type="dxa"/>
            <w:vAlign w:val="top"/>
          </w:tcPr>
          <w:p>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27" w:type="dxa"/>
            <w:vAlign w:val="top"/>
          </w:tcPr>
          <w:p>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 12</w:t>
            </w:r>
            <w:r>
              <w:rPr>
                <w:rFonts w:ascii="黑体" w:hAnsi="黑体" w:eastAsia="黑体"/>
                <w:sz w:val="21"/>
                <w:szCs w:val="21"/>
              </w:rPr>
              <w:fldChar w:fldCharType="end"/>
            </w:r>
            <w:bookmarkEnd w:id="1"/>
          </w:p>
        </w:tc>
      </w:tr>
    </w:tbl>
    <w:tbl>
      <w:tblPr>
        <w:tblStyle w:val="30"/>
        <w:tblpPr w:leftFromText="181" w:rightFromText="181" w:horzAnchor="margin" w:tblpX="3857" w:tblpY="568"/>
        <w:tblW w:w="4990" w:type="dxa"/>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990"/>
      </w:tblGrid>
      <w:tr>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128" w:hRule="atLeast"/>
        </w:trPr>
        <w:tc>
          <w:tcPr>
            <w:tcW w:w="4990" w:type="dxa"/>
            <w:vAlign w:val="top"/>
          </w:tcPr>
          <w:p>
            <w:pPr>
              <w:pStyle w:val="39"/>
              <w:framePr w:w="0" w:hRule="auto" w:wrap="auto" w:vAnchor="margin" w:hAnchor="text" w:xAlign="left" w:yAlign="inline"/>
              <w:ind w:firstLine="420"/>
            </w:pPr>
            <w:bookmarkStart w:id="2" w:name="_Hlk26473981"/>
            <w:r>
              <w:fldChar w:fldCharType="begin">
                <w:ffData>
                  <w:name w:val="c1"/>
                  <w:enabled/>
                  <w:calcOnExit w:val="0"/>
                  <w:textInput>
                    <w:maxLength w:val="8"/>
                  </w:textInput>
                </w:ffData>
              </w:fldChar>
            </w:r>
            <w:bookmarkStart w:id="3" w:name="c1"/>
            <w:r>
              <w:instrText xml:space="preserve"> FORMTEXT </w:instrText>
            </w:r>
            <w:r>
              <w:fldChar w:fldCharType="separate"/>
            </w:r>
            <w:r>
              <w:t>MZ</w:t>
            </w:r>
            <w:r>
              <w:fldChar w:fldCharType="end"/>
            </w:r>
            <w:bookmarkEnd w:id="3"/>
          </w:p>
        </w:tc>
      </w:tr>
    </w:tbl>
    <w:p>
      <w:pPr>
        <w:pStyle w:val="40"/>
        <w:framePr w:w="9639" w:h="624" w:hRule="exact" w:hSpace="181" w:vSpace="181" w:vAnchor="page" w:hAnchor="page" w:x="1305" w:y="2269"/>
        <w:rPr>
          <w:rFonts w:hint="eastAsia" w:ascii="黑体" w:hAnsi="黑体" w:eastAsia="黑体"/>
          <w:b w:val="0"/>
          <w:bCs w:val="0"/>
          <w:w w:val="100"/>
          <w:sz w:val="48"/>
          <w:szCs w:val="48"/>
        </w:rPr>
      </w:pPr>
      <w:r>
        <w:rPr>
          <w:rFonts w:hint="eastAsia" w:ascii="黑体" w:hAnsi="黑体" w:eastAsia="黑体"/>
          <w:b w:val="0"/>
          <w:bCs w:val="0"/>
          <w:w w:val="100"/>
          <w:sz w:val="48"/>
          <w:szCs w:val="48"/>
        </w:rPr>
        <w:t>中华人民共和国</w:t>
      </w:r>
      <w:r>
        <w:rPr>
          <w:rFonts w:ascii="黑体" w:eastAsia="黑体"/>
          <w:b w:val="0"/>
          <w:bCs w:val="0"/>
          <w:w w:val="100"/>
          <w:sz w:val="48"/>
        </w:rPr>
        <w:fldChar w:fldCharType="begin">
          <w:ffData>
            <w:name w:val="c2"/>
            <w:enabled/>
            <w:calcOnExit w:val="0"/>
            <w:textInput/>
          </w:ffData>
        </w:fldChar>
      </w:r>
      <w:bookmarkStart w:id="4" w:name="c2"/>
      <w:r>
        <w:rPr>
          <w:rFonts w:ascii="黑体" w:eastAsia="黑体"/>
          <w:b w:val="0"/>
          <w:bCs w:val="0"/>
          <w:w w:val="100"/>
          <w:sz w:val="48"/>
        </w:rPr>
        <w:instrText xml:space="preserve"> FORMTEXT </w:instrText>
      </w:r>
      <w:r>
        <w:rPr>
          <w:rFonts w:ascii="黑体" w:eastAsia="黑体"/>
          <w:b w:val="0"/>
          <w:bCs w:val="0"/>
          <w:w w:val="100"/>
          <w:sz w:val="48"/>
        </w:rPr>
        <w:fldChar w:fldCharType="separate"/>
      </w:r>
      <w:r>
        <w:rPr>
          <w:rFonts w:hint="eastAsia" w:ascii="黑体" w:eastAsia="黑体"/>
          <w:b w:val="0"/>
          <w:bCs w:val="0"/>
          <w:w w:val="100"/>
          <w:sz w:val="48"/>
        </w:rPr>
        <w:t>民政</w:t>
      </w:r>
      <w:r>
        <w:rPr>
          <w:rFonts w:ascii="黑体" w:eastAsia="黑体"/>
          <w:b w:val="0"/>
          <w:bCs w:val="0"/>
          <w:w w:val="100"/>
          <w:sz w:val="48"/>
        </w:rPr>
        <w:fldChar w:fldCharType="end"/>
      </w:r>
      <w:bookmarkEnd w:id="4"/>
      <w:r>
        <w:rPr>
          <w:rFonts w:hint="eastAsia" w:ascii="黑体" w:hAnsi="黑体" w:eastAsia="黑体"/>
          <w:b w:val="0"/>
          <w:bCs w:val="0"/>
          <w:w w:val="100"/>
          <w:sz w:val="48"/>
          <w:szCs w:val="48"/>
        </w:rPr>
        <w:t>行业标准</w:t>
      </w:r>
    </w:p>
    <w:bookmarkEnd w:id="2"/>
    <w:p>
      <w:pPr>
        <w:pStyle w:val="175"/>
      </w:pPr>
      <w:r>
        <w:fldChar w:fldCharType="begin">
          <w:ffData>
            <w:name w:val="文字1"/>
            <w:enabled/>
            <w:calcOnExit w:val="0"/>
            <w:textInput>
              <w:default w:val="XX/T"/>
            </w:textInput>
          </w:ffData>
        </w:fldChar>
      </w:r>
      <w:bookmarkStart w:id="5" w:name="文字1"/>
      <w:r>
        <w:instrText xml:space="preserve"> FORMTEXT </w:instrText>
      </w:r>
      <w:r>
        <w:fldChar w:fldCharType="separate"/>
      </w:r>
      <w:r>
        <w:t>MZ/T</w:t>
      </w:r>
      <w:r>
        <w:fldChar w:fldCharType="end"/>
      </w:r>
      <w:bookmarkEnd w:id="5"/>
      <w:r>
        <w:t xml:space="preserve"> </w:t>
      </w:r>
      <w:r>
        <w:fldChar w:fldCharType="begin">
          <w:ffData>
            <w:name w:val="NSTD_CODE_F"/>
            <w:enabled/>
            <w:calcOnExit w:val="0"/>
            <w:textInput>
              <w:default w:val="XXXXX"/>
            </w:textInput>
          </w:ffData>
        </w:fldChar>
      </w:r>
      <w:bookmarkStart w:id="6" w:name="NSTD_CODE_F"/>
      <w:r>
        <w:instrText xml:space="preserve"> FORMTEXT </w:instrText>
      </w:r>
      <w:r>
        <w:fldChar w:fldCharType="separate"/>
      </w:r>
      <w:r>
        <w:t>XXXXX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pPr>
        <w:spacing w:line="240" w:lineRule="auto"/>
        <w:rPr>
          <w:rFonts w:hint="eastAsia" w:ascii="黑体" w:hAnsi="黑体" w:eastAsia="黑体"/>
          <w:kern w:val="0"/>
          <w:sz w:val="10"/>
          <w:szCs w:val="10"/>
        </w:rPr>
      </w:pPr>
      <w:r>
        <w:rPr>
          <w:rFonts w:ascii="黑体" w:hAnsi="黑体" w:eastAsia="黑体" w:cs="Times New Roman"/>
          <w:kern w:val="0"/>
          <w:sz w:val="10"/>
          <w:szCs w:val="10"/>
          <w:lang w:val="en-US" w:eastAsia="zh-CN" w:bidi="ar-SA"/>
        </w:rPr>
        <w:pict>
          <v:line id="直接连接符 73" o:spid="_x0000_s1026" o:spt="20" style="position:absolute;left:0pt;margin-left:70.9pt;margin-top:212.65pt;height:0.05pt;width:481.9pt;mso-position-horizontal-relative:page;mso-position-vertical-relative:page;z-index:251658240;mso-width-relative:page;mso-height-relative:page;" fillcolor="#FFFFFF" filled="f" o:preferrelative="t" stroked="t" coordsize="21600,21600" o:allowoverlap="f">
            <v:path arrowok="t"/>
            <v:fill on="f" color2="#FFFFFF" focussize="0,0"/>
            <v:stroke color="#000000" color2="#FFFFFF" joinstyle="round"/>
            <v:imagedata gain="65536f" blacklevel="0f" gamma="0" o:title=""/>
            <o:lock v:ext="edit" position="f" selection="f" grouping="f" rotation="f" cropping="f" text="f" aspectratio="f"/>
          </v:line>
        </w:pict>
      </w:r>
    </w:p>
    <w:p>
      <w:pPr>
        <w:pStyle w:val="40"/>
        <w:framePr w:w="9639" w:h="6976" w:hRule="exact" w:hSpace="0" w:vSpace="0" w:vAnchor="page" w:hAnchor="page" w:y="6408"/>
        <w:jc w:val="center"/>
        <w:rPr>
          <w:rFonts w:hint="eastAsia" w:ascii="黑体" w:hAnsi="黑体" w:eastAsia="黑体"/>
          <w:b w:val="0"/>
          <w:bCs w:val="0"/>
          <w:w w:val="100"/>
        </w:rPr>
      </w:pPr>
    </w:p>
    <w:p>
      <w:pPr>
        <w:pStyle w:val="177"/>
        <w:framePr w:h="6974" w:hRule="exact" w:x="1419" w:anchorLock="1"/>
        <w:rPr>
          <w:rFonts w:hint="eastAsia"/>
        </w:rPr>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t>养老机构分级照护服务质量规范</w:t>
      </w:r>
      <w:r>
        <w:fldChar w:fldCharType="end"/>
      </w:r>
      <w:bookmarkEnd w:id="8"/>
    </w:p>
    <w:p>
      <w:pPr>
        <w:framePr w:w="9639" w:h="6974" w:hRule="exact" w:wrap="around" w:vAnchor="page" w:hAnchor="page" w:x="1419" w:y="6408" w:anchorLock="1"/>
        <w:ind w:left="-1418"/>
      </w:pPr>
    </w:p>
    <w:p>
      <w:pPr>
        <w:pStyle w:val="110"/>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Specification for graded elderly care services quality of senior care organization"/>
            </w:textInput>
          </w:ffData>
        </w:fldChar>
      </w:r>
      <w:bookmarkStart w:id="9" w:name="ESTD_NAME"/>
      <w:r>
        <w:rPr>
          <w:rFonts w:eastAsia="黑体"/>
          <w:szCs w:val="28"/>
        </w:rPr>
        <w:instrText xml:space="preserve"> FORMTEXT </w:instrText>
      </w:r>
      <w:r>
        <w:rPr>
          <w:rFonts w:eastAsia="黑体"/>
          <w:szCs w:val="28"/>
        </w:rPr>
        <w:fldChar w:fldCharType="separate"/>
      </w:r>
      <w:r>
        <w:rPr>
          <w:rFonts w:eastAsia="黑体"/>
          <w:szCs w:val="28"/>
        </w:rPr>
        <w:t>Specification for graded elderly care services quality of senior care organization</w:t>
      </w:r>
      <w:r>
        <w:rPr>
          <w:rFonts w:eastAsia="黑体"/>
          <w:szCs w:val="28"/>
        </w:rPr>
        <w:fldChar w:fldCharType="end"/>
      </w:r>
      <w:bookmarkEnd w:id="9"/>
    </w:p>
    <w:p>
      <w:pPr>
        <w:framePr w:w="9639" w:h="6974" w:hRule="exact" w:wrap="around" w:vAnchor="page" w:hAnchor="page" w:x="1419" w:y="6408" w:anchorLock="1"/>
        <w:spacing w:line="760" w:lineRule="exact"/>
        <w:ind w:left="-1418"/>
      </w:pPr>
    </w:p>
    <w:p>
      <w:pPr>
        <w:pStyle w:val="110"/>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pPr>
        <w:pStyle w:val="110"/>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1"/>
    </w:p>
    <w:p>
      <w:pPr>
        <w:pStyle w:val="110"/>
        <w:framePr w:w="9639" w:h="6974" w:hRule="exact" w:wrap="around" w:vAnchor="page" w:hAnchor="page" w:x="1419" w:y="6408" w:anchorLock="1"/>
        <w:spacing w:before="180" w:line="240" w:lineRule="atLeast"/>
        <w:textAlignment w:val="bottom"/>
        <w:rPr>
          <w:sz w:val="21"/>
          <w:szCs w:val="28"/>
        </w:rPr>
      </w:pPr>
    </w:p>
    <w:p>
      <w:pPr>
        <w:pStyle w:val="110"/>
        <w:framePr w:w="9639" w:h="6974" w:hRule="exact" w:wrap="around" w:vAnchor="page" w:hAnchor="page" w:x="1419" w:y="6408" w:anchorLock="1"/>
        <w:spacing w:before="180" w:line="240" w:lineRule="atLeast"/>
        <w:textAlignment w:val="bottom"/>
        <w:rPr>
          <w:sz w:val="21"/>
          <w:szCs w:val="28"/>
        </w:rPr>
      </w:pPr>
      <w:r>
        <w:rPr>
          <w:rFonts w:hint="eastAsia"/>
          <w:sz w:val="21"/>
          <w:szCs w:val="28"/>
        </w:rPr>
        <w:t>在提交意见时，请将您知道的相关专利连同支持性文件一并附上。</w:t>
      </w:r>
    </w:p>
    <w:p>
      <w:pPr>
        <w:pStyle w:val="173"/>
        <w:framePr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rPr>
          <w:rFonts w:hint="eastAsia"/>
        </w:rPr>
        <w:t>发布</w:t>
      </w:r>
    </w:p>
    <w:p>
      <w:pPr>
        <w:pStyle w:val="174"/>
        <w:framePr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rPr>
          <w:rFonts w:hint="eastAsia"/>
        </w:rPr>
        <w:t>实施</w:t>
      </w:r>
    </w:p>
    <w:p>
      <w:pPr>
        <w:pStyle w:val="134"/>
        <w:framePr w:h="584" w:hRule="exact" w:hSpace="181" w:vSpace="181" w:y="14800"/>
        <w:rPr>
          <w:rFonts w:hint="eastAsia" w:hAnsi="黑体"/>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中华人民共和国民政部</w:t>
      </w:r>
      <w:r>
        <w:rPr>
          <w:rFonts w:hAnsi="黑体"/>
          <w:w w:val="100"/>
          <w:sz w:val="28"/>
        </w:rPr>
        <w:fldChar w:fldCharType="end"/>
      </w:r>
      <w:bookmarkEnd w:id="18"/>
      <w:r>
        <w:rPr>
          <w:rFonts w:ascii="Times New Roman"/>
          <w:w w:val="100"/>
          <w:sz w:val="28"/>
          <w:szCs w:val="28"/>
        </w:rPr>
        <w:t>  </w:t>
      </w:r>
      <w:r>
        <w:rPr>
          <w:rStyle w:val="237"/>
          <w:rFonts w:hint="eastAsia" w:hAnsi="黑体"/>
          <w:position w:val="0"/>
        </w:rPr>
        <w:t>发</w:t>
      </w:r>
      <w:r>
        <w:rPr>
          <w:rStyle w:val="237"/>
          <w:rFonts w:hint="eastAsia" w:hAnsi="黑体"/>
          <w:spacing w:val="0"/>
          <w:position w:val="0"/>
        </w:rPr>
        <w:t>布</w:t>
      </w:r>
    </w:p>
    <w:p>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021" w:left="1134" w:header="1418" w:footer="1134" w:gutter="284"/>
          <w:cols w:space="720" w:num="1"/>
          <w:titlePg/>
          <w:docGrid w:linePitch="312" w:charSpace="0"/>
        </w:sectPr>
      </w:pPr>
      <w:r>
        <w:rPr>
          <w:rFonts w:hint="eastAsia" w:ascii="宋体" w:hAnsi="宋体" w:eastAsia="宋体" w:cs="Times New Roman"/>
          <w:kern w:val="2"/>
          <w:sz w:val="28"/>
          <w:szCs w:val="28"/>
          <w:lang w:val="en-US" w:eastAsia="zh-CN" w:bidi="ar-SA"/>
        </w:rPr>
        <w:pict>
          <v:line id="直接连接符 5" o:spid="_x0000_s1027" o:spt="20" style="position:absolute;left:0pt;margin-left:70.85pt;margin-top:728.6pt;height:0.05pt;width:481.9pt;mso-position-horizontal-relative:page;mso-position-vertical-relative:page;z-index:251659264;mso-width-relative:page;mso-height-relative:page;" fillcolor="#FFFFFF" filled="f" o:preferrelative="t" stroked="t" coordsize="21600,21600">
            <v:path arrowok="t"/>
            <v:fill on="f" color2="#FFFFFF" focussize="0,0"/>
            <v:stroke color="#000000" color2="#FFFFFF" joinstyle="round"/>
            <v:imagedata gain="65536f" blacklevel="0f" gamma="0" o:title=""/>
            <o:lock v:ext="edit" position="f" selection="f" grouping="f" rotation="f" cropping="f" text="f" aspectratio="f"/>
            <w10:anchorlock/>
          </v:line>
        </w:pict>
      </w:r>
    </w:p>
    <w:p>
      <w:pPr>
        <w:pStyle w:val="79"/>
        <w:spacing w:after="360"/>
      </w:pPr>
      <w:bookmarkStart w:id="19" w:name="BookMark1"/>
      <w:bookmarkStart w:id="20" w:name="_Toc178254349"/>
      <w:bookmarkStart w:id="21" w:name="_Toc164372602"/>
      <w:bookmarkStart w:id="22" w:name="_Toc182210631"/>
      <w:bookmarkStart w:id="23" w:name="_Toc178175309"/>
      <w:r>
        <w:rPr>
          <w:rFonts w:hint="eastAsia"/>
          <w:spacing w:val="320"/>
        </w:rPr>
        <w:t>目</w:t>
      </w:r>
      <w:r>
        <w:rPr>
          <w:rFonts w:hint="eastAsia"/>
        </w:rPr>
        <w:t>次</w:t>
      </w:r>
    </w:p>
    <w:p>
      <w:pPr>
        <w:pStyle w:val="20"/>
        <w:tabs>
          <w:tab w:val="right" w:leader="dot" w:pos="9344"/>
        </w:tabs>
        <w:rPr>
          <w:rFonts w:hint="eastAsia" w:ascii="等线" w:hAnsi="等线" w:eastAsia="等线" w:cs="黑体"/>
          <w:szCs w:val="22"/>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"_Toc182210673" </w:instrText>
      </w:r>
      <w:r>
        <w:fldChar w:fldCharType="separate"/>
      </w:r>
      <w:r>
        <w:rPr>
          <w:rStyle w:val="35"/>
        </w:rPr>
        <w:t>前言</w:t>
      </w:r>
      <w:r>
        <w:tab/>
      </w:r>
      <w:r>
        <w:fldChar w:fldCharType="begin"/>
      </w:r>
      <w:r>
        <w:instrText xml:space="preserve"> PAGEREF _Toc182210673 \h </w:instrText>
      </w:r>
      <w:r>
        <w:fldChar w:fldCharType="separate"/>
      </w:r>
      <w:r>
        <w:t>II</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"_Toc182210674" </w:instrText>
      </w:r>
      <w:r>
        <w:fldChar w:fldCharType="separate"/>
      </w:r>
      <w:r>
        <w:rPr>
          <w:rStyle w:val="35"/>
        </w:rPr>
        <w:t>1  范围</w:t>
      </w:r>
      <w:r>
        <w:tab/>
      </w:r>
      <w:r>
        <w:fldChar w:fldCharType="begin"/>
      </w:r>
      <w:r>
        <w:instrText xml:space="preserve"> PAGEREF _Toc182210674 \h </w:instrText>
      </w:r>
      <w:r>
        <w:fldChar w:fldCharType="separate"/>
      </w:r>
      <w:r>
        <w:t>1</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"_Toc182210675" </w:instrText>
      </w:r>
      <w:r>
        <w:fldChar w:fldCharType="separate"/>
      </w:r>
      <w:r>
        <w:rPr>
          <w:rStyle w:val="35"/>
        </w:rPr>
        <w:t>2  规范性引用文件</w:t>
      </w:r>
      <w:r>
        <w:tab/>
      </w:r>
      <w:r>
        <w:fldChar w:fldCharType="begin"/>
      </w:r>
      <w:r>
        <w:instrText xml:space="preserve"> PAGEREF _Toc182210675 \h </w:instrText>
      </w:r>
      <w:r>
        <w:fldChar w:fldCharType="separate"/>
      </w:r>
      <w:r>
        <w:t>1</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"_Toc182210676" </w:instrText>
      </w:r>
      <w:r>
        <w:fldChar w:fldCharType="separate"/>
      </w:r>
      <w:r>
        <w:rPr>
          <w:rStyle w:val="35"/>
        </w:rPr>
        <w:t>3  术语和定义</w:t>
      </w:r>
      <w:r>
        <w:tab/>
      </w:r>
      <w:r>
        <w:fldChar w:fldCharType="begin"/>
      </w:r>
      <w:r>
        <w:instrText xml:space="preserve"> PAGEREF _Toc182210676 \h </w:instrText>
      </w:r>
      <w:r>
        <w:fldChar w:fldCharType="separate"/>
      </w:r>
      <w:r>
        <w:t>1</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"_Toc182210677" </w:instrText>
      </w:r>
      <w:r>
        <w:fldChar w:fldCharType="separate"/>
      </w:r>
      <w:r>
        <w:rPr>
          <w:rStyle w:val="35"/>
        </w:rPr>
        <w:t>4  总体要求</w:t>
      </w:r>
      <w:r>
        <w:tab/>
      </w:r>
      <w:r>
        <w:fldChar w:fldCharType="begin"/>
      </w:r>
      <w:r>
        <w:instrText xml:space="preserve"> PAGEREF _Toc182210677 \h </w:instrText>
      </w:r>
      <w:r>
        <w:fldChar w:fldCharType="separate"/>
      </w:r>
      <w:r>
        <w:t>1</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"_Toc182210678" </w:instrText>
      </w:r>
      <w:r>
        <w:fldChar w:fldCharType="separate"/>
      </w:r>
      <w:r>
        <w:rPr>
          <w:rStyle w:val="35"/>
        </w:rPr>
        <w:t>5  照护服务等级</w:t>
      </w:r>
      <w:r>
        <w:tab/>
      </w:r>
      <w:r>
        <w:fldChar w:fldCharType="begin"/>
      </w:r>
      <w:r>
        <w:instrText xml:space="preserve"> PAGEREF _Toc182210678 \h </w:instrText>
      </w:r>
      <w:r>
        <w:fldChar w:fldCharType="separate"/>
      </w:r>
      <w:r>
        <w:t>1</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"_Toc182210679" </w:instrText>
      </w:r>
      <w:r>
        <w:fldChar w:fldCharType="separate"/>
      </w:r>
      <w:r>
        <w:rPr>
          <w:rStyle w:val="35"/>
        </w:rPr>
        <w:t>5.1  老年人能力等级</w:t>
      </w:r>
      <w:r>
        <w:tab/>
      </w:r>
      <w:r>
        <w:fldChar w:fldCharType="begin"/>
      </w:r>
      <w:r>
        <w:instrText xml:space="preserve"> PAGEREF _Toc182210679 \h </w:instrText>
      </w:r>
      <w:r>
        <w:fldChar w:fldCharType="separate"/>
      </w:r>
      <w:r>
        <w:t>1</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"_Toc182210680" </w:instrText>
      </w:r>
      <w:r>
        <w:fldChar w:fldCharType="separate"/>
      </w:r>
      <w:r>
        <w:rPr>
          <w:rStyle w:val="35"/>
        </w:rPr>
        <w:t>5.2  照护服务等级划分</w:t>
      </w:r>
      <w:r>
        <w:tab/>
      </w:r>
      <w:r>
        <w:fldChar w:fldCharType="begin"/>
      </w:r>
      <w:r>
        <w:instrText xml:space="preserve"> PAGEREF _Toc182210680 \h </w:instrText>
      </w:r>
      <w:r>
        <w:fldChar w:fldCharType="separate"/>
      </w:r>
      <w:r>
        <w:t>1</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"_Toc182210681" </w:instrText>
      </w:r>
      <w:r>
        <w:fldChar w:fldCharType="separate"/>
      </w:r>
      <w:r>
        <w:rPr>
          <w:rStyle w:val="35"/>
        </w:rPr>
        <w:t>5.3  认知功能障碍照护服务等级划分</w:t>
      </w:r>
      <w:r>
        <w:tab/>
      </w:r>
      <w:r>
        <w:fldChar w:fldCharType="begin"/>
      </w:r>
      <w:r>
        <w:instrText xml:space="preserve"> PAGEREF _Toc182210681 \h </w:instrText>
      </w:r>
      <w:r>
        <w:fldChar w:fldCharType="separate"/>
      </w:r>
      <w:r>
        <w:t>2</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"_Toc182210682" </w:instrText>
      </w:r>
      <w:r>
        <w:fldChar w:fldCharType="separate"/>
      </w:r>
      <w:r>
        <w:rPr>
          <w:rStyle w:val="35"/>
        </w:rPr>
        <w:t>6  基础照护服务要求</w:t>
      </w:r>
      <w:r>
        <w:tab/>
      </w:r>
      <w:r>
        <w:fldChar w:fldCharType="begin"/>
      </w:r>
      <w:r>
        <w:instrText xml:space="preserve"> PAGEREF _Toc182210682 \h </w:instrText>
      </w:r>
      <w:r>
        <w:fldChar w:fldCharType="separate"/>
      </w:r>
      <w:r>
        <w:t>2</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"_Toc182210683" </w:instrText>
      </w:r>
      <w:r>
        <w:fldChar w:fldCharType="separate"/>
      </w:r>
      <w:r>
        <w:rPr>
          <w:rStyle w:val="35"/>
        </w:rPr>
        <w:t>6.1  日常照护</w:t>
      </w:r>
      <w:r>
        <w:tab/>
      </w:r>
      <w:r>
        <w:fldChar w:fldCharType="begin"/>
      </w:r>
      <w:r>
        <w:instrText xml:space="preserve"> PAGEREF _Toc182210683 \h </w:instrText>
      </w:r>
      <w:r>
        <w:fldChar w:fldCharType="separate"/>
      </w:r>
      <w:r>
        <w:t>2</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"_Toc182210684" </w:instrText>
      </w:r>
      <w:r>
        <w:fldChar w:fldCharType="separate"/>
      </w:r>
      <w:r>
        <w:rPr>
          <w:rStyle w:val="35"/>
        </w:rPr>
        <w:t>6.2  清洁卫生</w:t>
      </w:r>
      <w:r>
        <w:tab/>
      </w:r>
      <w:r>
        <w:fldChar w:fldCharType="begin"/>
      </w:r>
      <w:r>
        <w:instrText xml:space="preserve"> PAGEREF _Toc182210684 \h </w:instrText>
      </w:r>
      <w:r>
        <w:fldChar w:fldCharType="separate"/>
      </w:r>
      <w:r>
        <w:t>2</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"_Toc182210685" </w:instrText>
      </w:r>
      <w:r>
        <w:fldChar w:fldCharType="separate"/>
      </w:r>
      <w:r>
        <w:rPr>
          <w:rStyle w:val="35"/>
        </w:rPr>
        <w:t>6.3  医疗护理</w:t>
      </w:r>
      <w:r>
        <w:tab/>
      </w:r>
      <w:r>
        <w:fldChar w:fldCharType="begin"/>
      </w:r>
      <w:r>
        <w:instrText xml:space="preserve"> PAGEREF _Toc182210685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"_Toc182210686" </w:instrText>
      </w:r>
      <w:r>
        <w:fldChar w:fldCharType="separate"/>
      </w:r>
      <w:r>
        <w:rPr>
          <w:rStyle w:val="35"/>
        </w:rPr>
        <w:t>6.4  社交娱乐</w:t>
      </w:r>
      <w:r>
        <w:tab/>
      </w:r>
      <w:r>
        <w:fldChar w:fldCharType="begin"/>
      </w:r>
      <w:r>
        <w:instrText xml:space="preserve"> PAGEREF _Toc182210686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"_Toc182210687" </w:instrText>
      </w:r>
      <w:r>
        <w:fldChar w:fldCharType="separate"/>
      </w:r>
      <w:r>
        <w:rPr>
          <w:rStyle w:val="35"/>
        </w:rPr>
        <w:t>6.5  心理/精神支持</w:t>
      </w:r>
      <w:r>
        <w:tab/>
      </w:r>
      <w:r>
        <w:fldChar w:fldCharType="begin"/>
      </w:r>
      <w:r>
        <w:instrText xml:space="preserve"> PAGEREF _Toc182210687 \h </w:instrText>
      </w:r>
      <w:r>
        <w:fldChar w:fldCharType="separate"/>
      </w:r>
      <w:r>
        <w:t>3</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"_Toc182210688" </w:instrText>
      </w:r>
      <w:r>
        <w:fldChar w:fldCharType="separate"/>
      </w:r>
      <w:r>
        <w:rPr>
          <w:rStyle w:val="35"/>
        </w:rPr>
        <w:t>7  分级照护服务要求</w:t>
      </w:r>
      <w:r>
        <w:tab/>
      </w:r>
      <w:r>
        <w:fldChar w:fldCharType="begin"/>
      </w:r>
      <w:r>
        <w:instrText xml:space="preserve"> PAGEREF _Toc182210688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"_Toc182210689" </w:instrText>
      </w:r>
      <w:r>
        <w:fldChar w:fldCharType="separate"/>
      </w:r>
      <w:r>
        <w:rPr>
          <w:rStyle w:val="35"/>
        </w:rPr>
        <w:t>7.1  一级照护（自理级）</w:t>
      </w:r>
      <w:r>
        <w:tab/>
      </w:r>
      <w:r>
        <w:fldChar w:fldCharType="begin"/>
      </w:r>
      <w:r>
        <w:instrText xml:space="preserve"> PAGEREF _Toc182210689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"_Toc182210690" </w:instrText>
      </w:r>
      <w:r>
        <w:fldChar w:fldCharType="separate"/>
      </w:r>
      <w:r>
        <w:rPr>
          <w:rStyle w:val="35"/>
        </w:rPr>
        <w:t>7.2  二级照护（协助一级）</w:t>
      </w:r>
      <w:r>
        <w:tab/>
      </w:r>
      <w:r>
        <w:fldChar w:fldCharType="begin"/>
      </w:r>
      <w:r>
        <w:instrText xml:space="preserve"> PAGEREF _Toc182210690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"_Toc182210691" </w:instrText>
      </w:r>
      <w:r>
        <w:fldChar w:fldCharType="separate"/>
      </w:r>
      <w:r>
        <w:rPr>
          <w:rStyle w:val="35"/>
        </w:rPr>
        <w:t>7.3  三级照护（协助二级）</w:t>
      </w:r>
      <w:r>
        <w:tab/>
      </w:r>
      <w:r>
        <w:fldChar w:fldCharType="begin"/>
      </w:r>
      <w:r>
        <w:instrText xml:space="preserve"> PAGEREF _Toc182210691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"_Toc182210692" </w:instrText>
      </w:r>
      <w:r>
        <w:fldChar w:fldCharType="separate"/>
      </w:r>
      <w:r>
        <w:rPr>
          <w:rStyle w:val="35"/>
        </w:rPr>
        <w:t>7.4  四级照护（照护一级）</w:t>
      </w:r>
      <w:r>
        <w:tab/>
      </w:r>
      <w:r>
        <w:fldChar w:fldCharType="begin"/>
      </w:r>
      <w:r>
        <w:instrText xml:space="preserve"> PAGEREF _Toc182210692 \h </w:instrText>
      </w:r>
      <w:r>
        <w:fldChar w:fldCharType="separate"/>
      </w:r>
      <w:r>
        <w:t>3</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"_Toc182210693" </w:instrText>
      </w:r>
      <w:r>
        <w:fldChar w:fldCharType="separate"/>
      </w:r>
      <w:r>
        <w:rPr>
          <w:rStyle w:val="35"/>
        </w:rPr>
        <w:t>7.5  五级照护（照护二级）</w:t>
      </w:r>
      <w:r>
        <w:tab/>
      </w:r>
      <w:r>
        <w:fldChar w:fldCharType="begin"/>
      </w:r>
      <w:r>
        <w:instrText xml:space="preserve"> PAGEREF _Toc182210693 \h </w:instrText>
      </w:r>
      <w:r>
        <w:fldChar w:fldCharType="separate"/>
      </w:r>
      <w:r>
        <w:t>4</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"_Toc182210694" </w:instrText>
      </w:r>
      <w:r>
        <w:fldChar w:fldCharType="separate"/>
      </w:r>
      <w:r>
        <w:rPr>
          <w:rStyle w:val="35"/>
        </w:rPr>
        <w:t>7.6  六级照护（照护三级、全照护级）</w:t>
      </w:r>
      <w:r>
        <w:tab/>
      </w:r>
      <w:r>
        <w:fldChar w:fldCharType="begin"/>
      </w:r>
      <w:r>
        <w:instrText xml:space="preserve"> PAGEREF _Toc182210694 \h </w:instrText>
      </w:r>
      <w:r>
        <w:fldChar w:fldCharType="separate"/>
      </w:r>
      <w:r>
        <w:t>4</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"_Toc182210695" </w:instrText>
      </w:r>
      <w:r>
        <w:fldChar w:fldCharType="separate"/>
      </w:r>
      <w:r>
        <w:rPr>
          <w:rStyle w:val="35"/>
        </w:rPr>
        <w:t>7.7  七级照护（特殊照护）</w:t>
      </w:r>
      <w:r>
        <w:tab/>
      </w:r>
      <w:r>
        <w:fldChar w:fldCharType="begin"/>
      </w:r>
      <w:r>
        <w:instrText xml:space="preserve"> PAGEREF _Toc182210695 \h </w:instrText>
      </w:r>
      <w:r>
        <w:fldChar w:fldCharType="separate"/>
      </w:r>
      <w:r>
        <w:t>4</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"_Toc182210696" </w:instrText>
      </w:r>
      <w:r>
        <w:fldChar w:fldCharType="separate"/>
      </w:r>
      <w:r>
        <w:rPr>
          <w:rStyle w:val="35"/>
        </w:rPr>
        <w:t>7.8  八级照护（认知功能障碍照护一级）</w:t>
      </w:r>
      <w:r>
        <w:tab/>
      </w:r>
      <w:r>
        <w:fldChar w:fldCharType="begin"/>
      </w:r>
      <w:r>
        <w:instrText xml:space="preserve"> PAGEREF _Toc182210696 \h </w:instrText>
      </w:r>
      <w:r>
        <w:fldChar w:fldCharType="separate"/>
      </w:r>
      <w:r>
        <w:t>5</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"_Toc182210697" </w:instrText>
      </w:r>
      <w:r>
        <w:fldChar w:fldCharType="separate"/>
      </w:r>
      <w:r>
        <w:rPr>
          <w:rStyle w:val="35"/>
        </w:rPr>
        <w:t>7.9  九级照护（认知功能障碍照护二级）</w:t>
      </w:r>
      <w:r>
        <w:tab/>
      </w:r>
      <w:r>
        <w:fldChar w:fldCharType="begin"/>
      </w:r>
      <w:r>
        <w:instrText xml:space="preserve"> PAGEREF _Toc182210697 \h </w:instrText>
      </w:r>
      <w:r>
        <w:fldChar w:fldCharType="separate"/>
      </w:r>
      <w:r>
        <w:t>5</w:t>
      </w:r>
      <w:r>
        <w:fldChar w:fldCharType="end"/>
      </w:r>
      <w:r>
        <w:fldChar w:fldCharType="end"/>
      </w:r>
    </w:p>
    <w:p>
      <w:pPr>
        <w:pStyle w:val="20"/>
        <w:tabs>
          <w:tab w:val="right" w:leader="dot" w:pos="9344"/>
        </w:tabs>
        <w:rPr>
          <w:rFonts w:hint="eastAsia" w:ascii="等线" w:hAnsi="等线" w:eastAsia="等线" w:cs="黑体"/>
          <w:szCs w:val="22"/>
        </w:rPr>
      </w:pPr>
      <w:r>
        <w:fldChar w:fldCharType="begin"/>
      </w:r>
      <w:r>
        <w:instrText xml:space="preserve"> HYPERLINK \l "_Toc182210698" </w:instrText>
      </w:r>
      <w:r>
        <w:fldChar w:fldCharType="separate"/>
      </w:r>
      <w:r>
        <w:rPr>
          <w:rStyle w:val="35"/>
        </w:rPr>
        <w:t>8  服务评价与改进</w:t>
      </w:r>
      <w:r>
        <w:tab/>
      </w:r>
      <w:r>
        <w:fldChar w:fldCharType="begin"/>
      </w:r>
      <w:r>
        <w:instrText xml:space="preserve"> PAGEREF _Toc182210698 \h </w:instrText>
      </w:r>
      <w:r>
        <w:fldChar w:fldCharType="separate"/>
      </w:r>
      <w:r>
        <w:t>6</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"_Toc182210699" </w:instrText>
      </w:r>
      <w:r>
        <w:fldChar w:fldCharType="separate"/>
      </w:r>
      <w:r>
        <w:rPr>
          <w:rStyle w:val="35"/>
        </w:rPr>
        <w:t>8.1  服务评价</w:t>
      </w:r>
      <w:r>
        <w:tab/>
      </w:r>
      <w:r>
        <w:fldChar w:fldCharType="begin"/>
      </w:r>
      <w:r>
        <w:instrText xml:space="preserve"> PAGEREF _Toc182210699 \h </w:instrText>
      </w:r>
      <w:r>
        <w:fldChar w:fldCharType="separate"/>
      </w:r>
      <w:r>
        <w:t>6</w:t>
      </w:r>
      <w:r>
        <w:fldChar w:fldCharType="end"/>
      </w:r>
      <w:r>
        <w:fldChar w:fldCharType="end"/>
      </w:r>
    </w:p>
    <w:p>
      <w:pPr>
        <w:pStyle w:val="25"/>
        <w:rPr>
          <w:rFonts w:hint="eastAsia" w:ascii="等线" w:hAnsi="等线" w:eastAsia="等线" w:cs="黑体"/>
          <w:szCs w:val="22"/>
        </w:rPr>
      </w:pPr>
      <w:r>
        <w:fldChar w:fldCharType="begin"/>
      </w:r>
      <w:r>
        <w:instrText xml:space="preserve"> HYPERLINK \l "_Toc182210700" </w:instrText>
      </w:r>
      <w:r>
        <w:fldChar w:fldCharType="separate"/>
      </w:r>
      <w:r>
        <w:rPr>
          <w:rStyle w:val="35"/>
        </w:rPr>
        <w:t>8.2  服务改进</w:t>
      </w:r>
      <w:r>
        <w:tab/>
      </w:r>
      <w:r>
        <w:fldChar w:fldCharType="begin"/>
      </w:r>
      <w:r>
        <w:instrText xml:space="preserve"> PAGEREF _Toc182210700 \h </w:instrText>
      </w:r>
      <w:r>
        <w:fldChar w:fldCharType="separate"/>
      </w:r>
      <w:r>
        <w:t>6</w:t>
      </w:r>
      <w:r>
        <w:fldChar w:fldCharType="end"/>
      </w:r>
      <w:r>
        <w:fldChar w:fldCharType="end"/>
      </w:r>
    </w:p>
    <w:p>
      <w:pPr>
        <w:pStyle w:val="79"/>
        <w:spacing w:after="360"/>
        <w:sectPr>
          <w:headerReference r:id="rId9" w:type="default"/>
          <w:footerReference r:id="rId11" w:type="default"/>
          <w:headerReference r:id="rId10" w:type="even"/>
          <w:pgSz w:w="11906" w:h="16838"/>
          <w:pgMar w:top="1928" w:right="1134" w:bottom="1134" w:left="1134" w:header="1418" w:footer="1134" w:gutter="284"/>
          <w:pgNumType w:fmt="upperRoman" w:start="1"/>
          <w:cols w:space="720" w:num="1"/>
          <w:formProt w:val="0"/>
          <w:docGrid w:linePitch="312" w:charSpace="0"/>
        </w:sectPr>
      </w:pPr>
      <w:r>
        <w:fldChar w:fldCharType="end"/>
      </w:r>
    </w:p>
    <w:bookmarkEnd w:id="19"/>
    <w:p>
      <w:pPr>
        <w:pStyle w:val="77"/>
        <w:spacing w:before="900" w:after="360"/>
      </w:pPr>
      <w:bookmarkStart w:id="24" w:name="_Toc182210673"/>
      <w:bookmarkStart w:id="25" w:name="BookMark2"/>
      <w:r>
        <w:rPr>
          <w:spacing w:val="320"/>
        </w:rPr>
        <w:t>前</w:t>
      </w:r>
      <w:r>
        <w:t>言</w:t>
      </w:r>
      <w:bookmarkEnd w:id="20"/>
      <w:bookmarkEnd w:id="21"/>
      <w:bookmarkEnd w:id="22"/>
      <w:bookmarkEnd w:id="23"/>
      <w:bookmarkEnd w:id="24"/>
    </w:p>
    <w:p>
      <w:pPr>
        <w:pStyle w:val="46"/>
        <w:ind w:firstLine="420"/>
      </w:pPr>
      <w:r>
        <w:rPr>
          <w:rFonts w:hint="eastAsia"/>
        </w:rPr>
        <w:t>本文件按照GB/T 1.1—2020《标准化工作导则  第1部分：标准化文件的结构和起草规则》的规定起草。</w:t>
      </w:r>
    </w:p>
    <w:p>
      <w:pPr>
        <w:pStyle w:val="46"/>
        <w:ind w:firstLine="420"/>
      </w:pPr>
      <w:r>
        <w:rPr>
          <w:rFonts w:hint="eastAsia"/>
        </w:rPr>
        <w:t>请注意本文件的某些内容可能涉及专利。本文件的发布机构不承担识别专利的责任。</w:t>
      </w:r>
    </w:p>
    <w:p>
      <w:pPr>
        <w:pStyle w:val="46"/>
        <w:ind w:firstLine="420"/>
      </w:pPr>
      <w:r>
        <w:rPr>
          <w:rFonts w:hint="eastAsia"/>
        </w:rPr>
        <w:t>本文件由中华人民共和国民政部提出。</w:t>
      </w:r>
    </w:p>
    <w:p>
      <w:pPr>
        <w:pStyle w:val="46"/>
        <w:ind w:firstLine="420"/>
      </w:pPr>
      <w:r>
        <w:rPr>
          <w:rFonts w:hint="eastAsia"/>
        </w:rPr>
        <w:t>本文件由全国社会福利服务标准化技术委员会（SAC/TC 315）归口。</w:t>
      </w:r>
    </w:p>
    <w:p>
      <w:pPr>
        <w:pStyle w:val="46"/>
        <w:ind w:firstLine="420"/>
      </w:pPr>
      <w:r>
        <w:rPr>
          <w:rFonts w:hint="eastAsia"/>
        </w:rPr>
        <w:t>本文件起草单位：安徽乐年健康养老产业有限公司、宿州逸流管理技术有限公司、安徽福海惠众养老产业股份有限公司、界首市中医院、池州铜陵晖仁康复医院、安徽中标智能质量标准研究院有限公司、池州邻鹿养老服务有限公司、池州援通养老服务有限公司、安徽省民政厅、合肥市包河区振亚颐养老年人照护中心、池州学院等。</w:t>
      </w:r>
    </w:p>
    <w:p>
      <w:pPr>
        <w:pStyle w:val="46"/>
        <w:ind w:firstLine="420"/>
      </w:pPr>
      <w:r>
        <w:rPr>
          <w:rFonts w:hint="eastAsia"/>
        </w:rPr>
        <w:t>本文件主要起草人：略。</w:t>
      </w:r>
    </w:p>
    <w:p>
      <w:pPr>
        <w:pStyle w:val="46"/>
        <w:ind w:firstLine="420"/>
      </w:pPr>
    </w:p>
    <w:p>
      <w:pPr>
        <w:pStyle w:val="46"/>
        <w:ind w:firstLine="420"/>
        <w:sectPr>
          <w:pgSz w:w="11906" w:h="16838"/>
          <w:pgMar w:top="1928" w:right="1134" w:bottom="1134" w:left="1134" w:header="1418" w:footer="1134" w:gutter="284"/>
          <w:pgNumType w:fmt="upperRoman"/>
          <w:cols w:space="720" w:num="1"/>
          <w:formProt w:val="0"/>
          <w:docGrid w:linePitch="312" w:charSpace="0"/>
        </w:sectPr>
      </w:pPr>
    </w:p>
    <w:bookmarkEnd w:id="25"/>
    <w:p>
      <w:pPr>
        <w:spacing w:line="20" w:lineRule="exact"/>
        <w:jc w:val="center"/>
        <w:rPr>
          <w:rFonts w:hint="eastAsia" w:ascii="黑体" w:hAnsi="黑体" w:eastAsia="黑体"/>
          <w:sz w:val="32"/>
          <w:szCs w:val="32"/>
        </w:rPr>
      </w:pPr>
      <w:bookmarkStart w:id="26" w:name="BookMark4"/>
    </w:p>
    <w:p>
      <w:pPr>
        <w:spacing w:line="20" w:lineRule="exact"/>
        <w:jc w:val="center"/>
        <w:rPr>
          <w:rFonts w:hint="eastAsia" w:ascii="黑体" w:hAnsi="黑体" w:eastAsia="黑体"/>
          <w:sz w:val="32"/>
          <w:szCs w:val="32"/>
        </w:rPr>
      </w:pPr>
    </w:p>
    <w:p>
      <w:pPr>
        <w:pStyle w:val="160"/>
        <w:spacing w:before="2" w:beforeLines="1" w:after="528" w:afterLines="220"/>
        <w:rPr>
          <w:rFonts w:hint="eastAsia"/>
        </w:rPr>
      </w:pPr>
      <w:bookmarkStart w:id="27" w:name="NEW_STAND_NAME"/>
      <w:r>
        <w:rPr>
          <w:rFonts w:hint="eastAsia"/>
        </w:rPr>
        <w:t>养老机构分级照护服务质量规范</w:t>
      </w:r>
    </w:p>
    <w:bookmarkEnd w:id="27"/>
    <w:p>
      <w:pPr>
        <w:pStyle w:val="89"/>
        <w:spacing w:before="240" w:after="240"/>
      </w:pPr>
      <w:bookmarkStart w:id="28" w:name="_Toc164372603"/>
      <w:bookmarkStart w:id="29" w:name="_Toc26648465"/>
      <w:bookmarkStart w:id="30" w:name="_Toc178175310"/>
      <w:bookmarkStart w:id="31" w:name="_Toc26986530"/>
      <w:bookmarkStart w:id="32" w:name="_Toc178254350"/>
      <w:bookmarkStart w:id="33" w:name="_Toc182210632"/>
      <w:bookmarkStart w:id="34" w:name="_Toc24884218"/>
      <w:bookmarkStart w:id="35" w:name="_Toc17233325"/>
      <w:bookmarkStart w:id="36" w:name="_Toc26718930"/>
      <w:bookmarkStart w:id="37" w:name="_Toc26986771"/>
      <w:bookmarkStart w:id="38" w:name="_Toc97195091"/>
      <w:bookmarkStart w:id="39" w:name="_Toc182210674"/>
      <w:bookmarkStart w:id="40" w:name="_Toc24884211"/>
      <w:bookmarkStart w:id="41" w:name="_Toc17233333"/>
      <w:r>
        <w:rPr>
          <w:rFonts w:hint="eastAsia"/>
        </w:rPr>
        <w:t>范围</w:t>
      </w:r>
      <w:bookmarkEnd w:id="28"/>
      <w:bookmarkEnd w:id="29"/>
      <w:bookmarkEnd w:id="30"/>
      <w:bookmarkEnd w:id="31"/>
      <w:bookmarkEnd w:id="32"/>
      <w:bookmarkEnd w:id="33"/>
      <w:bookmarkEnd w:id="34"/>
      <w:bookmarkEnd w:id="35"/>
      <w:bookmarkEnd w:id="36"/>
      <w:bookmarkEnd w:id="37"/>
      <w:bookmarkEnd w:id="38"/>
      <w:bookmarkEnd w:id="39"/>
      <w:bookmarkEnd w:id="40"/>
      <w:bookmarkEnd w:id="41"/>
    </w:p>
    <w:p>
      <w:pPr>
        <w:pStyle w:val="46"/>
        <w:ind w:firstLine="420"/>
      </w:pPr>
      <w:bookmarkStart w:id="42" w:name="_Toc17233326"/>
      <w:bookmarkStart w:id="43" w:name="_Toc24884212"/>
      <w:bookmarkStart w:id="44" w:name="_Toc24884219"/>
      <w:bookmarkStart w:id="45" w:name="_Toc26648466"/>
      <w:bookmarkStart w:id="46" w:name="_Toc17233334"/>
      <w:r>
        <w:rPr>
          <w:rFonts w:hint="eastAsia"/>
        </w:rPr>
        <w:t>本文件规定了养老机构老年人分级照护的总体要求、照护服务等级、基础照护服务要求、分级照护服务要求、服务评价与改进。</w:t>
      </w:r>
    </w:p>
    <w:p>
      <w:pPr>
        <w:pStyle w:val="46"/>
        <w:ind w:firstLine="420"/>
      </w:pPr>
      <w:r>
        <w:rPr>
          <w:rFonts w:hint="eastAsia"/>
        </w:rPr>
        <w:t>本文件适用于养老机构老年人分级照护服务质量管理。</w:t>
      </w:r>
    </w:p>
    <w:p>
      <w:pPr>
        <w:pStyle w:val="89"/>
        <w:spacing w:before="240" w:after="240"/>
      </w:pPr>
      <w:bookmarkStart w:id="47" w:name="_Toc26986772"/>
      <w:bookmarkStart w:id="48" w:name="_Toc178175311"/>
      <w:bookmarkStart w:id="49" w:name="_Toc182210675"/>
      <w:bookmarkStart w:id="50" w:name="_Toc164372604"/>
      <w:bookmarkStart w:id="51" w:name="_Toc182210633"/>
      <w:bookmarkStart w:id="52" w:name="_Toc26986531"/>
      <w:bookmarkStart w:id="53" w:name="_Toc97195092"/>
      <w:bookmarkStart w:id="54" w:name="_Toc26718931"/>
      <w:bookmarkStart w:id="55" w:name="_Toc178254351"/>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bookmarkEnd w:id="55"/>
    </w:p>
    <w:p>
      <w:pPr>
        <w:pStyle w:val="4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pPr>
        <w:pStyle w:val="46"/>
        <w:ind w:firstLine="420"/>
      </w:pPr>
      <w:r>
        <w:rPr>
          <w:rFonts w:hint="eastAsia"/>
        </w:rPr>
        <w:t>GB/T 35796 养老机构服务质量基本规范</w:t>
      </w:r>
    </w:p>
    <w:p>
      <w:pPr>
        <w:pStyle w:val="46"/>
        <w:ind w:firstLine="420"/>
      </w:pPr>
      <w:r>
        <w:rPr>
          <w:rFonts w:hint="eastAsia"/>
        </w:rPr>
        <w:t>GB 38600 养老机构服务安全基本规范</w:t>
      </w:r>
    </w:p>
    <w:p>
      <w:pPr>
        <w:pStyle w:val="46"/>
        <w:ind w:firstLine="420"/>
      </w:pPr>
      <w:r>
        <w:rPr>
          <w:rFonts w:hint="eastAsia"/>
        </w:rPr>
        <w:t>GB/T 42195 老年人能力评估规范</w:t>
      </w:r>
    </w:p>
    <w:p>
      <w:pPr>
        <w:pStyle w:val="46"/>
        <w:ind w:firstLine="420"/>
      </w:pPr>
      <w:r>
        <w:rPr>
          <w:rFonts w:hint="eastAsia"/>
        </w:rPr>
        <w:t>MZ/T 132 养老机构预防压疮服务规范</w:t>
      </w:r>
    </w:p>
    <w:p>
      <w:pPr>
        <w:pStyle w:val="46"/>
        <w:ind w:firstLine="420"/>
      </w:pPr>
      <w:r>
        <w:rPr>
          <w:rFonts w:hint="eastAsia"/>
        </w:rPr>
        <w:t>MZ/T 133 养老机构顾客满意度测评</w:t>
      </w:r>
    </w:p>
    <w:p>
      <w:pPr>
        <w:pStyle w:val="46"/>
        <w:ind w:firstLine="420"/>
      </w:pPr>
      <w:r>
        <w:rPr>
          <w:rFonts w:hint="eastAsia"/>
        </w:rPr>
        <w:t>M</w:t>
      </w:r>
      <w:r>
        <w:t xml:space="preserve">Z/T 171 </w:t>
      </w:r>
      <w:r>
        <w:rPr>
          <w:rFonts w:hint="eastAsia"/>
        </w:rPr>
        <w:t>养老机构生活照料操作规范</w:t>
      </w:r>
    </w:p>
    <w:p>
      <w:pPr>
        <w:pStyle w:val="46"/>
        <w:ind w:firstLine="420"/>
      </w:pPr>
      <w:r>
        <w:rPr>
          <w:rFonts w:hint="eastAsia"/>
        </w:rPr>
        <w:t>MZ/T XXXX</w:t>
      </w:r>
      <w:r>
        <w:t>X</w:t>
      </w:r>
      <w:r>
        <w:rPr>
          <w:rFonts w:hint="eastAsia"/>
        </w:rPr>
        <w:t>-</w:t>
      </w:r>
      <w:r>
        <w:t>XXXX</w:t>
      </w:r>
      <w:r>
        <w:rPr>
          <w:rFonts w:hint="eastAsia"/>
        </w:rPr>
        <w:t xml:space="preserve"> 养老照护服务等级划分与评定</w:t>
      </w:r>
    </w:p>
    <w:p>
      <w:pPr>
        <w:pStyle w:val="89"/>
        <w:spacing w:before="240" w:after="240"/>
      </w:pPr>
      <w:bookmarkStart w:id="56" w:name="_Toc182210634"/>
      <w:bookmarkStart w:id="57" w:name="_Toc178254352"/>
      <w:bookmarkStart w:id="58" w:name="_Toc164372605"/>
      <w:bookmarkStart w:id="59" w:name="_Toc182210676"/>
      <w:bookmarkStart w:id="60" w:name="_Toc97195093"/>
      <w:bookmarkStart w:id="61" w:name="_Toc178175312"/>
      <w:r>
        <w:rPr>
          <w:rFonts w:hint="eastAsia"/>
          <w:szCs w:val="21"/>
        </w:rPr>
        <w:t>术语和定义</w:t>
      </w:r>
      <w:bookmarkEnd w:id="56"/>
      <w:bookmarkEnd w:id="57"/>
      <w:bookmarkEnd w:id="58"/>
      <w:bookmarkEnd w:id="59"/>
      <w:bookmarkEnd w:id="60"/>
      <w:bookmarkEnd w:id="61"/>
    </w:p>
    <w:p>
      <w:pPr>
        <w:pStyle w:val="46"/>
        <w:ind w:firstLine="420"/>
      </w:pPr>
      <w:bookmarkStart w:id="62" w:name="_Toc26986532"/>
      <w:bookmarkEnd w:id="62"/>
      <w:r>
        <w:rPr>
          <w:rFonts w:hint="eastAsia"/>
        </w:rPr>
        <w:t>GB/T 35796和</w:t>
      </w:r>
      <w:r>
        <w:t>MZ/T 171</w:t>
      </w:r>
      <w:r>
        <w:rPr>
          <w:rFonts w:hint="eastAsia"/>
        </w:rPr>
        <w:t>界定的以及下列术语和定义适用于本文件。</w:t>
      </w:r>
    </w:p>
    <w:p>
      <w:pPr>
        <w:pStyle w:val="202"/>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分级照护 graded</w:t>
      </w:r>
      <w:r>
        <w:rPr>
          <w:rFonts w:ascii="黑体" w:hAnsi="黑体" w:eastAsia="黑体"/>
        </w:rPr>
        <w:t xml:space="preserve"> elderly</w:t>
      </w:r>
      <w:r>
        <w:rPr>
          <w:rFonts w:hint="eastAsia" w:ascii="黑体" w:hAnsi="黑体" w:eastAsia="黑体"/>
        </w:rPr>
        <w:t xml:space="preserve"> </w:t>
      </w:r>
      <w:r>
        <w:rPr>
          <w:rFonts w:ascii="黑体" w:hAnsi="黑体" w:eastAsia="黑体"/>
        </w:rPr>
        <w:t xml:space="preserve">care </w:t>
      </w:r>
    </w:p>
    <w:p>
      <w:pPr>
        <w:pStyle w:val="46"/>
        <w:ind w:firstLine="420"/>
      </w:pPr>
      <w:r>
        <w:rPr>
          <w:rFonts w:hint="eastAsia"/>
        </w:rPr>
        <w:t>根据老年人能力评估确定照料护理级别，针对不同级别提供符合老年人实际情况的定制式服务项目和内容。</w:t>
      </w:r>
    </w:p>
    <w:p>
      <w:pPr>
        <w:pStyle w:val="89"/>
        <w:spacing w:before="240" w:after="240"/>
      </w:pPr>
      <w:bookmarkStart w:id="63" w:name="_Toc182210635"/>
      <w:bookmarkStart w:id="64" w:name="_Toc178254353"/>
      <w:bookmarkStart w:id="65" w:name="_Toc178175313"/>
      <w:bookmarkStart w:id="66" w:name="_Toc164372606"/>
      <w:bookmarkStart w:id="67" w:name="_Toc182210677"/>
      <w:r>
        <w:rPr>
          <w:rFonts w:hint="eastAsia"/>
        </w:rPr>
        <w:t>总体要求</w:t>
      </w:r>
      <w:bookmarkEnd w:id="63"/>
      <w:bookmarkEnd w:id="64"/>
      <w:bookmarkEnd w:id="65"/>
      <w:bookmarkEnd w:id="66"/>
      <w:bookmarkEnd w:id="67"/>
    </w:p>
    <w:p>
      <w:pPr>
        <w:pStyle w:val="145"/>
        <w:ind w:left="0"/>
        <w:rPr>
          <w:color w:val="auto"/>
        </w:rPr>
      </w:pPr>
      <w:r>
        <w:rPr>
          <w:rFonts w:hint="eastAsia"/>
          <w:color w:val="auto"/>
        </w:rPr>
        <w:t>养老机构应建立分级照护服务等级管理制度。</w:t>
      </w:r>
    </w:p>
    <w:p>
      <w:pPr>
        <w:pStyle w:val="145"/>
        <w:ind w:left="0"/>
        <w:rPr>
          <w:color w:val="auto"/>
        </w:rPr>
      </w:pPr>
      <w:r>
        <w:rPr>
          <w:rFonts w:hint="eastAsia"/>
          <w:color w:val="auto"/>
        </w:rPr>
        <w:t>养老机构或照护人员应具备与提供的分级照护服务内容相应的职（执）业资格或医疗资质等。</w:t>
      </w:r>
    </w:p>
    <w:p>
      <w:pPr>
        <w:pStyle w:val="145"/>
        <w:ind w:left="0"/>
      </w:pPr>
      <w:r>
        <w:rPr>
          <w:rFonts w:hint="eastAsia"/>
          <w:color w:val="auto"/>
        </w:rPr>
        <w:t>养老机构应根据老年人的身心状况开展能力评估，至少一年一次。老年人身体或精神出现特殊情</w:t>
      </w:r>
      <w:r>
        <w:rPr>
          <w:rFonts w:hint="eastAsia"/>
        </w:rPr>
        <w:t>况导致能力发生变化时应即时评估。</w:t>
      </w:r>
    </w:p>
    <w:p>
      <w:pPr>
        <w:pStyle w:val="145"/>
        <w:ind w:left="0"/>
      </w:pPr>
      <w:r>
        <w:rPr>
          <w:rFonts w:hint="eastAsia"/>
        </w:rPr>
        <w:t>养老机构应提供与老年人相对应的分级照护服务内容，服务内容应符合GB/T 35796、GB 38600及</w:t>
      </w:r>
      <w:r>
        <w:t>MZ/T 171</w:t>
      </w:r>
      <w:r>
        <w:rPr>
          <w:rFonts w:hint="eastAsia"/>
        </w:rPr>
        <w:t>的要求。</w:t>
      </w:r>
    </w:p>
    <w:p>
      <w:pPr>
        <w:pStyle w:val="145"/>
        <w:ind w:left="0"/>
      </w:pPr>
      <w:r>
        <w:rPr>
          <w:rFonts w:hint="eastAsia"/>
        </w:rPr>
        <w:t>分级照护服务内容应纳入服务协议，服务记录及变更情况应保存完整并归档。</w:t>
      </w:r>
    </w:p>
    <w:p>
      <w:pPr>
        <w:pStyle w:val="89"/>
        <w:spacing w:before="240" w:after="240"/>
      </w:pPr>
      <w:bookmarkStart w:id="68" w:name="_Toc182210678"/>
      <w:bookmarkStart w:id="69" w:name="_Toc178254354"/>
      <w:bookmarkStart w:id="70" w:name="_Toc182210636"/>
      <w:bookmarkStart w:id="71" w:name="_Toc164372607"/>
      <w:bookmarkStart w:id="72" w:name="_Toc178175314"/>
      <w:r>
        <w:rPr>
          <w:rFonts w:hint="eastAsia"/>
        </w:rPr>
        <w:t>照护服务等级</w:t>
      </w:r>
      <w:bookmarkEnd w:id="68"/>
      <w:bookmarkEnd w:id="69"/>
      <w:bookmarkEnd w:id="70"/>
      <w:bookmarkEnd w:id="71"/>
      <w:bookmarkEnd w:id="72"/>
    </w:p>
    <w:p>
      <w:pPr>
        <w:pStyle w:val="90"/>
        <w:spacing w:before="120" w:after="120"/>
        <w:ind w:left="0"/>
      </w:pPr>
      <w:bookmarkStart w:id="73" w:name="_Toc182210679"/>
      <w:bookmarkStart w:id="74" w:name="_Toc178175315"/>
      <w:bookmarkStart w:id="75" w:name="_Toc178254355"/>
      <w:bookmarkStart w:id="76" w:name="_Toc182210637"/>
      <w:bookmarkStart w:id="77" w:name="_Toc164372608"/>
      <w:r>
        <w:rPr>
          <w:rFonts w:hint="eastAsia"/>
        </w:rPr>
        <w:t>老年人能力等级</w:t>
      </w:r>
      <w:bookmarkEnd w:id="73"/>
      <w:bookmarkEnd w:id="74"/>
      <w:bookmarkEnd w:id="75"/>
      <w:bookmarkEnd w:id="76"/>
      <w:bookmarkEnd w:id="77"/>
    </w:p>
    <w:p>
      <w:pPr>
        <w:pStyle w:val="148"/>
        <w:numPr>
          <w:ilvl w:val="3"/>
          <w:numId w:val="0"/>
        </w:numPr>
        <w:ind w:firstLine="420" w:firstLineChars="200"/>
      </w:pPr>
      <w:r>
        <w:rPr>
          <w:rFonts w:hint="eastAsia"/>
        </w:rPr>
        <w:t>养老机构应根据GB/T 42195的规定，确定老年人能力等级为能力完好、轻度失能、中度失能、重度失能、完全失能。</w:t>
      </w:r>
    </w:p>
    <w:p>
      <w:pPr>
        <w:pStyle w:val="90"/>
        <w:spacing w:before="120" w:after="120"/>
        <w:ind w:left="0"/>
      </w:pPr>
      <w:bookmarkStart w:id="78" w:name="_Toc178175316"/>
      <w:bookmarkStart w:id="79" w:name="_Toc182210638"/>
      <w:bookmarkStart w:id="80" w:name="_Toc164372609"/>
      <w:bookmarkStart w:id="81" w:name="_Toc178254356"/>
      <w:bookmarkStart w:id="82" w:name="_Toc182210680"/>
      <w:r>
        <w:rPr>
          <w:rFonts w:hint="eastAsia"/>
        </w:rPr>
        <w:t>照护服务等级划分</w:t>
      </w:r>
      <w:bookmarkEnd w:id="78"/>
      <w:bookmarkEnd w:id="79"/>
      <w:bookmarkEnd w:id="80"/>
      <w:bookmarkEnd w:id="81"/>
      <w:bookmarkEnd w:id="82"/>
    </w:p>
    <w:p>
      <w:pPr>
        <w:pStyle w:val="148"/>
        <w:numPr>
          <w:ilvl w:val="3"/>
          <w:numId w:val="0"/>
        </w:numPr>
        <w:ind w:firstLine="420" w:firstLineChars="200"/>
      </w:pPr>
      <w:r>
        <w:rPr>
          <w:rFonts w:hint="eastAsia"/>
        </w:rPr>
        <w:t>养老机构应根据MZ/T XXXX</w:t>
      </w:r>
      <w:r>
        <w:t>X</w:t>
      </w:r>
      <w:r>
        <w:rPr>
          <w:rFonts w:hint="eastAsia"/>
        </w:rPr>
        <w:t>-</w:t>
      </w:r>
      <w:r>
        <w:t>XXXX</w:t>
      </w:r>
      <w:r>
        <w:rPr>
          <w:rFonts w:hint="eastAsia"/>
        </w:rPr>
        <w:t>（养老照护服务等级划分与评定）划分老年人照护服务等级为7个等级，包括自理级、协助一级、协助二级、照护一级、照护二级、照护三级（全照护级）和特殊照护级，见表1。</w:t>
      </w:r>
    </w:p>
    <w:p>
      <w:pPr>
        <w:pStyle w:val="97"/>
        <w:spacing w:before="120" w:after="120"/>
        <w:ind w:firstLine="420" w:firstLineChars="200"/>
      </w:pPr>
      <w:r>
        <w:rPr>
          <w:rFonts w:hint="eastAsia"/>
        </w:rPr>
        <w:t>一般养老机构的照护服务等级</w:t>
      </w:r>
    </w:p>
    <w:tbl>
      <w:tblPr>
        <w:tblStyle w:val="29"/>
        <w:tblW w:w="88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3"/>
        <w:gridCol w:w="2126"/>
        <w:gridCol w:w="2406"/>
        <w:gridCol w:w="28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bookmarkStart w:id="83" w:name="_Hlk180415165"/>
            <w:r>
              <w:rPr>
                <w:rFonts w:hint="eastAsia" w:ascii="宋体" w:hAnsi="宋体"/>
                <w:color w:val="000000"/>
                <w:kern w:val="0"/>
                <w:sz w:val="18"/>
                <w:szCs w:val="18"/>
              </w:rPr>
              <w:t>照护服务等级</w:t>
            </w:r>
          </w:p>
        </w:tc>
        <w:tc>
          <w:tcPr>
            <w:tcW w:w="2126"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等级名称</w:t>
            </w:r>
          </w:p>
        </w:tc>
        <w:tc>
          <w:tcPr>
            <w:tcW w:w="5290"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126"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老年人能力等级</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健康相关问题</w:t>
            </w:r>
            <w:r>
              <w:rPr>
                <w:rFonts w:hint="eastAsia"/>
                <w:sz w:val="18"/>
                <w:szCs w:val="18"/>
              </w:rPr>
              <w:t>项目数量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w:t>
            </w:r>
          </w:p>
        </w:tc>
        <w:tc>
          <w:tcPr>
            <w:tcW w:w="212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自理级</w:t>
            </w: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能力完好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2</w:t>
            </w:r>
          </w:p>
        </w:tc>
        <w:tc>
          <w:tcPr>
            <w:tcW w:w="2126"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协助一级</w:t>
            </w: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能力完好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1-2项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126"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轻度失能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3</w:t>
            </w:r>
          </w:p>
        </w:tc>
        <w:tc>
          <w:tcPr>
            <w:tcW w:w="2126"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协助二级</w:t>
            </w: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轻度失能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1-2项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126"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中度失能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4</w:t>
            </w:r>
          </w:p>
        </w:tc>
        <w:tc>
          <w:tcPr>
            <w:tcW w:w="2126"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照护一级</w:t>
            </w: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中度失能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1-2项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126"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重度失能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5</w:t>
            </w:r>
          </w:p>
        </w:tc>
        <w:tc>
          <w:tcPr>
            <w:tcW w:w="2126"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照护二级</w:t>
            </w: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重度失能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1-2项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126" w:type="dxa"/>
            <w:vMerge w:val="continue"/>
            <w:tcBorders>
              <w:top w:val="single" w:color="000000" w:sz="4" w:space="0"/>
              <w:left w:val="single" w:color="000000" w:sz="4" w:space="0"/>
              <w:bottom w:val="single" w:color="000000" w:sz="4" w:space="0"/>
              <w:right w:val="single" w:color="000000" w:sz="4" w:space="0"/>
            </w:tcBorders>
            <w:vAlign w:val="center"/>
          </w:tcPr>
          <w:p>
            <w:pPr>
              <w:widowControl/>
              <w:adjustRightInd/>
              <w:spacing w:line="240" w:lineRule="auto"/>
              <w:jc w:val="left"/>
              <w:rPr>
                <w:rFonts w:hint="eastAsia" w:ascii="宋体" w:hAnsi="宋体"/>
                <w:color w:val="000000"/>
                <w:kern w:val="0"/>
                <w:sz w:val="18"/>
                <w:szCs w:val="18"/>
              </w:rPr>
            </w:pP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完全失能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0项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6</w:t>
            </w:r>
          </w:p>
        </w:tc>
        <w:tc>
          <w:tcPr>
            <w:tcW w:w="212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照护三级（全照护级）</w:t>
            </w:r>
          </w:p>
        </w:tc>
        <w:tc>
          <w:tcPr>
            <w:tcW w:w="240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完全失能</w:t>
            </w: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1-2项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7</w:t>
            </w:r>
          </w:p>
        </w:tc>
        <w:tc>
          <w:tcPr>
            <w:tcW w:w="2126"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特殊照护级</w:t>
            </w:r>
          </w:p>
        </w:tc>
        <w:tc>
          <w:tcPr>
            <w:tcW w:w="2406" w:type="dxa"/>
            <w:tcBorders>
              <w:top w:val="single" w:color="000000" w:sz="4" w:space="0"/>
              <w:left w:val="single" w:color="000000" w:sz="4" w:space="0"/>
              <w:bottom w:val="single" w:color="000000" w:sz="4" w:space="0"/>
              <w:right w:val="single" w:color="000000" w:sz="4" w:space="0"/>
              <w:tr2bl w:val="single" w:color="000000" w:sz="4" w:space="0"/>
            </w:tcBorders>
            <w:vAlign w:val="center"/>
          </w:tcPr>
          <w:p>
            <w:pPr>
              <w:spacing w:line="240" w:lineRule="auto"/>
              <w:jc w:val="center"/>
              <w:rPr>
                <w:rFonts w:hint="eastAsia" w:ascii="宋体" w:hAnsi="宋体"/>
                <w:color w:val="000000"/>
                <w:kern w:val="0"/>
                <w:sz w:val="18"/>
                <w:szCs w:val="18"/>
              </w:rPr>
            </w:pPr>
          </w:p>
        </w:tc>
        <w:tc>
          <w:tcPr>
            <w:tcW w:w="2884"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3项以上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8829" w:type="dxa"/>
            <w:gridSpan w:val="4"/>
            <w:tcBorders>
              <w:top w:val="single" w:color="000000" w:sz="4" w:space="0"/>
              <w:left w:val="single" w:color="000000" w:sz="4" w:space="0"/>
              <w:bottom w:val="single" w:color="000000" w:sz="4" w:space="0"/>
              <w:right w:val="single" w:color="000000" w:sz="4" w:space="0"/>
            </w:tcBorders>
            <w:vAlign w:val="center"/>
          </w:tcPr>
          <w:p>
            <w:pPr>
              <w:spacing w:line="240" w:lineRule="auto"/>
              <w:jc w:val="left"/>
              <w:rPr>
                <w:rFonts w:hint="eastAsia" w:ascii="宋体" w:hAnsi="宋体"/>
                <w:color w:val="000000"/>
                <w:kern w:val="0"/>
                <w:sz w:val="18"/>
                <w:szCs w:val="18"/>
              </w:rPr>
            </w:pPr>
            <w:r>
              <w:rPr>
                <w:rFonts w:hint="eastAsia" w:ascii="宋体" w:hAnsi="宋体"/>
                <w:color w:val="000000"/>
                <w:kern w:val="0"/>
                <w:sz w:val="18"/>
                <w:szCs w:val="18"/>
              </w:rPr>
              <w:t>说明：7级适用于医养结合型机构中医疗专区的照护服务等级划分。</w:t>
            </w:r>
          </w:p>
          <w:bookmarkEnd w:id="83"/>
        </w:tc>
      </w:tr>
    </w:tbl>
    <w:p>
      <w:pPr>
        <w:pStyle w:val="90"/>
        <w:spacing w:before="120" w:after="120"/>
      </w:pPr>
      <w:bookmarkStart w:id="84" w:name="_Toc182210681"/>
      <w:bookmarkStart w:id="85" w:name="_Toc182210639"/>
      <w:bookmarkStart w:id="86" w:name="_Toc178254358"/>
      <w:bookmarkStart w:id="87" w:name="_Toc178175317"/>
      <w:bookmarkStart w:id="88" w:name="_Toc164372610"/>
      <w:r>
        <w:rPr>
          <w:rFonts w:hint="eastAsia"/>
        </w:rPr>
        <w:t>认知功能障碍照护服务等级划分</w:t>
      </w:r>
      <w:bookmarkEnd w:id="84"/>
      <w:bookmarkEnd w:id="85"/>
      <w:bookmarkEnd w:id="86"/>
      <w:bookmarkEnd w:id="87"/>
      <w:bookmarkEnd w:id="88"/>
    </w:p>
    <w:p>
      <w:pPr>
        <w:pStyle w:val="148"/>
        <w:numPr>
          <w:ilvl w:val="3"/>
          <w:numId w:val="0"/>
        </w:numPr>
        <w:ind w:firstLine="420" w:firstLineChars="200"/>
      </w:pPr>
      <w:r>
        <w:rPr>
          <w:rFonts w:hint="eastAsia"/>
        </w:rPr>
        <w:t>认知功能障碍老年人照护服务等级应按照MZ/T XXXX-XXXX（养老照护服务等级划分与评定）划分为认知功能障碍照护一级、认知功能障碍照护二级2个等级，见表2。</w:t>
      </w:r>
    </w:p>
    <w:p>
      <w:pPr>
        <w:pStyle w:val="97"/>
        <w:spacing w:before="120" w:after="120"/>
      </w:pPr>
      <w:r>
        <w:rPr>
          <w:rFonts w:hint="eastAsia"/>
        </w:rPr>
        <w:t>认知功能障碍专区的养老照护服务等级</w:t>
      </w:r>
    </w:p>
    <w:tbl>
      <w:tblPr>
        <w:tblStyle w:val="29"/>
        <w:tblW w:w="88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3"/>
        <w:gridCol w:w="2357"/>
        <w:gridCol w:w="50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照护服务等级</w:t>
            </w:r>
          </w:p>
        </w:tc>
        <w:tc>
          <w:tcPr>
            <w:tcW w:w="2357"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等级名称</w:t>
            </w:r>
          </w:p>
        </w:tc>
        <w:tc>
          <w:tcPr>
            <w:tcW w:w="5059"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老年人能力中精神状态维度评分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8</w:t>
            </w:r>
          </w:p>
        </w:tc>
        <w:tc>
          <w:tcPr>
            <w:tcW w:w="2357"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认知功能障碍照护一级</w:t>
            </w:r>
          </w:p>
        </w:tc>
        <w:tc>
          <w:tcPr>
            <w:tcW w:w="5059"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11-20分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9</w:t>
            </w:r>
          </w:p>
        </w:tc>
        <w:tc>
          <w:tcPr>
            <w:tcW w:w="2357"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认知功能障碍照护二级</w:t>
            </w:r>
          </w:p>
        </w:tc>
        <w:tc>
          <w:tcPr>
            <w:tcW w:w="5059" w:type="dxa"/>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rFonts w:hint="eastAsia" w:ascii="宋体" w:hAnsi="宋体"/>
                <w:color w:val="000000"/>
                <w:kern w:val="0"/>
                <w:sz w:val="18"/>
                <w:szCs w:val="18"/>
              </w:rPr>
            </w:pPr>
            <w:r>
              <w:rPr>
                <w:rFonts w:hint="eastAsia" w:ascii="宋体" w:hAnsi="宋体"/>
                <w:color w:val="000000"/>
                <w:kern w:val="0"/>
                <w:sz w:val="18"/>
                <w:szCs w:val="18"/>
              </w:rPr>
              <w:t>0-10分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8829" w:type="dxa"/>
            <w:gridSpan w:val="3"/>
            <w:tcBorders>
              <w:top w:val="single" w:color="000000" w:sz="4" w:space="0"/>
              <w:left w:val="single" w:color="000000" w:sz="4" w:space="0"/>
              <w:bottom w:val="single" w:color="000000" w:sz="4" w:space="0"/>
              <w:right w:val="single" w:color="000000" w:sz="4" w:space="0"/>
            </w:tcBorders>
            <w:vAlign w:val="center"/>
          </w:tcPr>
          <w:p>
            <w:pPr>
              <w:spacing w:line="240" w:lineRule="auto"/>
              <w:jc w:val="left"/>
              <w:rPr>
                <w:rFonts w:hint="eastAsia" w:ascii="宋体" w:hAnsi="宋体"/>
                <w:color w:val="000000"/>
                <w:kern w:val="0"/>
                <w:sz w:val="18"/>
                <w:szCs w:val="18"/>
              </w:rPr>
            </w:pPr>
            <w:r>
              <w:rPr>
                <w:rFonts w:hint="eastAsia" w:ascii="宋体" w:hAnsi="宋体"/>
                <w:color w:val="000000"/>
                <w:kern w:val="0"/>
                <w:sz w:val="18"/>
                <w:szCs w:val="18"/>
              </w:rPr>
              <w:t>说明1：8、9级适用于认知功能障碍专区的照护服务等级划分。</w:t>
            </w:r>
          </w:p>
          <w:p>
            <w:pPr>
              <w:spacing w:line="240" w:lineRule="auto"/>
              <w:jc w:val="left"/>
              <w:rPr>
                <w:rFonts w:hint="eastAsia" w:ascii="宋体" w:hAnsi="宋体"/>
                <w:color w:val="000000"/>
                <w:kern w:val="0"/>
                <w:sz w:val="18"/>
                <w:szCs w:val="18"/>
              </w:rPr>
            </w:pPr>
            <w:r>
              <w:rPr>
                <w:rFonts w:hint="eastAsia" w:ascii="宋体" w:hAnsi="宋体"/>
                <w:color w:val="000000"/>
                <w:kern w:val="0"/>
                <w:sz w:val="18"/>
                <w:szCs w:val="18"/>
              </w:rPr>
              <w:t>说明2：根据GB/T 42195-2022中精神状态维度总分评分结果，21-28分为认知功能良好或轻度认知功能障碍，11-20分为中度认知功能障碍，0-10分为重度认知功能障碍。</w:t>
            </w:r>
          </w:p>
          <w:p>
            <w:pPr>
              <w:spacing w:line="240" w:lineRule="auto"/>
              <w:jc w:val="left"/>
              <w:rPr>
                <w:rFonts w:hint="eastAsia" w:ascii="宋体" w:hAnsi="宋体"/>
                <w:color w:val="000000"/>
                <w:kern w:val="0"/>
                <w:sz w:val="18"/>
                <w:szCs w:val="18"/>
              </w:rPr>
            </w:pPr>
            <w:r>
              <w:rPr>
                <w:rFonts w:hint="eastAsia" w:ascii="宋体" w:hAnsi="宋体"/>
                <w:color w:val="000000"/>
                <w:kern w:val="0"/>
                <w:sz w:val="18"/>
                <w:szCs w:val="18"/>
              </w:rPr>
              <w:t>说明3：认知功能良好或轻度认知功能障碍不入认知障碍专区，按照照护服务1-7级分级，当出现中度或重度认知功能障碍时入认知功能障碍专区，中度认知功能障碍进入8级认知功能障碍照护一级，重度认知功能障碍进入9级认知功能障碍照护二级。</w:t>
            </w:r>
          </w:p>
        </w:tc>
      </w:tr>
    </w:tbl>
    <w:p>
      <w:pPr>
        <w:pStyle w:val="89"/>
        <w:spacing w:before="240" w:after="240"/>
      </w:pPr>
      <w:bookmarkStart w:id="89" w:name="_Toc164372654"/>
      <w:bookmarkEnd w:id="89"/>
      <w:bookmarkStart w:id="90" w:name="_Toc164372611"/>
      <w:bookmarkEnd w:id="90"/>
      <w:bookmarkStart w:id="91" w:name="_Toc164372668"/>
      <w:bookmarkEnd w:id="91"/>
      <w:bookmarkStart w:id="92" w:name="_Toc164372688"/>
      <w:bookmarkEnd w:id="92"/>
      <w:bookmarkStart w:id="93" w:name="_Toc164372655"/>
      <w:bookmarkEnd w:id="93"/>
      <w:bookmarkStart w:id="94" w:name="_Toc164372659"/>
      <w:bookmarkEnd w:id="94"/>
      <w:bookmarkStart w:id="95" w:name="_Toc164372679"/>
      <w:bookmarkEnd w:id="95"/>
      <w:bookmarkStart w:id="96" w:name="_Toc164372629"/>
      <w:bookmarkEnd w:id="96"/>
      <w:bookmarkStart w:id="97" w:name="_Toc164372675"/>
      <w:bookmarkEnd w:id="97"/>
      <w:bookmarkStart w:id="98" w:name="_Toc164372636"/>
      <w:bookmarkEnd w:id="98"/>
      <w:bookmarkStart w:id="99" w:name="_Toc164372624"/>
      <w:bookmarkEnd w:id="99"/>
      <w:bookmarkStart w:id="100" w:name="_Toc164372681"/>
      <w:bookmarkEnd w:id="100"/>
      <w:bookmarkStart w:id="101" w:name="_Toc164372648"/>
      <w:bookmarkEnd w:id="101"/>
      <w:bookmarkStart w:id="102" w:name="_Toc164372650"/>
      <w:bookmarkEnd w:id="102"/>
      <w:bookmarkStart w:id="103" w:name="_Toc164372630"/>
      <w:bookmarkEnd w:id="103"/>
      <w:bookmarkStart w:id="104" w:name="_Toc164372677"/>
      <w:bookmarkEnd w:id="104"/>
      <w:bookmarkStart w:id="105" w:name="_Toc164372628"/>
      <w:bookmarkEnd w:id="105"/>
      <w:bookmarkStart w:id="106" w:name="_Toc164372638"/>
      <w:bookmarkEnd w:id="106"/>
      <w:bookmarkStart w:id="107" w:name="_Toc164372616"/>
      <w:bookmarkEnd w:id="107"/>
      <w:bookmarkStart w:id="108" w:name="_Toc164372651"/>
      <w:bookmarkEnd w:id="108"/>
      <w:bookmarkStart w:id="109" w:name="_Toc164372687"/>
      <w:bookmarkEnd w:id="109"/>
      <w:bookmarkStart w:id="110" w:name="_Toc164372649"/>
      <w:bookmarkEnd w:id="110"/>
      <w:bookmarkStart w:id="111" w:name="_Toc164372622"/>
      <w:bookmarkEnd w:id="111"/>
      <w:bookmarkStart w:id="112" w:name="_Toc164372640"/>
      <w:bookmarkEnd w:id="112"/>
      <w:bookmarkStart w:id="113" w:name="_Toc164372674"/>
      <w:bookmarkEnd w:id="113"/>
      <w:bookmarkStart w:id="114" w:name="_Toc164372661"/>
      <w:bookmarkEnd w:id="114"/>
      <w:bookmarkStart w:id="115" w:name="_Toc164372680"/>
      <w:bookmarkEnd w:id="115"/>
      <w:bookmarkStart w:id="116" w:name="_Toc164372662"/>
      <w:bookmarkEnd w:id="116"/>
      <w:bookmarkStart w:id="117" w:name="_Toc164372669"/>
      <w:bookmarkEnd w:id="117"/>
      <w:bookmarkStart w:id="118" w:name="_Toc164372633"/>
      <w:bookmarkEnd w:id="118"/>
      <w:bookmarkStart w:id="119" w:name="_Toc164372676"/>
      <w:bookmarkEnd w:id="119"/>
      <w:bookmarkStart w:id="120" w:name="_Toc164372637"/>
      <w:bookmarkEnd w:id="120"/>
      <w:bookmarkStart w:id="121" w:name="_Toc164372685"/>
      <w:bookmarkEnd w:id="121"/>
      <w:bookmarkStart w:id="122" w:name="_Toc164372612"/>
      <w:bookmarkEnd w:id="122"/>
      <w:bookmarkStart w:id="123" w:name="_Toc164372613"/>
      <w:bookmarkEnd w:id="123"/>
      <w:bookmarkStart w:id="124" w:name="_Toc164372614"/>
      <w:bookmarkEnd w:id="124"/>
      <w:bookmarkStart w:id="125" w:name="_Toc164372652"/>
      <w:bookmarkEnd w:id="125"/>
      <w:bookmarkStart w:id="126" w:name="_Toc164372635"/>
      <w:bookmarkEnd w:id="126"/>
      <w:bookmarkStart w:id="127" w:name="_Toc164372645"/>
      <w:bookmarkEnd w:id="127"/>
      <w:bookmarkStart w:id="128" w:name="_Toc164372641"/>
      <w:bookmarkEnd w:id="128"/>
      <w:bookmarkStart w:id="129" w:name="_Toc164372653"/>
      <w:bookmarkEnd w:id="129"/>
      <w:bookmarkStart w:id="130" w:name="_Toc164372686"/>
      <w:bookmarkEnd w:id="130"/>
      <w:bookmarkStart w:id="131" w:name="_Toc164372667"/>
      <w:bookmarkEnd w:id="131"/>
      <w:bookmarkStart w:id="132" w:name="_Toc164372617"/>
      <w:bookmarkEnd w:id="132"/>
      <w:bookmarkStart w:id="133" w:name="_Toc164372626"/>
      <w:bookmarkEnd w:id="133"/>
      <w:bookmarkStart w:id="134" w:name="_Toc164372665"/>
      <w:bookmarkEnd w:id="134"/>
      <w:bookmarkStart w:id="135" w:name="_Toc164372632"/>
      <w:bookmarkEnd w:id="135"/>
      <w:bookmarkStart w:id="136" w:name="_Toc164372639"/>
      <w:bookmarkEnd w:id="136"/>
      <w:bookmarkStart w:id="137" w:name="_Toc164372658"/>
      <w:bookmarkEnd w:id="137"/>
      <w:bookmarkStart w:id="138" w:name="_Toc164372625"/>
      <w:bookmarkEnd w:id="138"/>
      <w:bookmarkStart w:id="139" w:name="_Toc164372642"/>
      <w:bookmarkEnd w:id="139"/>
      <w:bookmarkStart w:id="140" w:name="_Toc164372619"/>
      <w:bookmarkEnd w:id="140"/>
      <w:bookmarkStart w:id="141" w:name="_Toc164372647"/>
      <w:bookmarkEnd w:id="141"/>
      <w:bookmarkStart w:id="142" w:name="_Toc164372646"/>
      <w:bookmarkEnd w:id="142"/>
      <w:bookmarkStart w:id="143" w:name="_Toc164372627"/>
      <w:bookmarkEnd w:id="143"/>
      <w:bookmarkStart w:id="144" w:name="_Toc164372673"/>
      <w:bookmarkEnd w:id="144"/>
      <w:bookmarkStart w:id="145" w:name="_Toc164372643"/>
      <w:bookmarkEnd w:id="145"/>
      <w:bookmarkStart w:id="146" w:name="_Toc164372683"/>
      <w:bookmarkEnd w:id="146"/>
      <w:bookmarkStart w:id="147" w:name="_Toc164372615"/>
      <w:bookmarkEnd w:id="147"/>
      <w:bookmarkStart w:id="148" w:name="_Toc164372656"/>
      <w:bookmarkEnd w:id="148"/>
      <w:bookmarkStart w:id="149" w:name="_Toc164372663"/>
      <w:bookmarkEnd w:id="149"/>
      <w:bookmarkStart w:id="150" w:name="_Toc164372670"/>
      <w:bookmarkEnd w:id="150"/>
      <w:bookmarkStart w:id="151" w:name="_Toc164372671"/>
      <w:bookmarkEnd w:id="151"/>
      <w:bookmarkStart w:id="152" w:name="_Toc164372657"/>
      <w:bookmarkEnd w:id="152"/>
      <w:bookmarkStart w:id="153" w:name="_Toc164372660"/>
      <w:bookmarkEnd w:id="153"/>
      <w:bookmarkStart w:id="154" w:name="_Toc164372620"/>
      <w:bookmarkEnd w:id="154"/>
      <w:bookmarkStart w:id="155" w:name="_Toc164372618"/>
      <w:bookmarkEnd w:id="155"/>
      <w:bookmarkStart w:id="156" w:name="_Toc164372623"/>
      <w:bookmarkEnd w:id="156"/>
      <w:bookmarkStart w:id="157" w:name="_Toc164372634"/>
      <w:bookmarkEnd w:id="157"/>
      <w:bookmarkStart w:id="158" w:name="_Toc164372631"/>
      <w:bookmarkEnd w:id="158"/>
      <w:bookmarkStart w:id="159" w:name="_Toc164372664"/>
      <w:bookmarkEnd w:id="159"/>
      <w:bookmarkStart w:id="160" w:name="_Toc164372682"/>
      <w:bookmarkEnd w:id="160"/>
      <w:bookmarkStart w:id="161" w:name="_Toc164372672"/>
      <w:bookmarkEnd w:id="161"/>
      <w:bookmarkStart w:id="162" w:name="_Toc164372678"/>
      <w:bookmarkEnd w:id="162"/>
      <w:bookmarkStart w:id="163" w:name="_Toc164372644"/>
      <w:bookmarkEnd w:id="163"/>
      <w:bookmarkStart w:id="164" w:name="_Toc164372621"/>
      <w:bookmarkEnd w:id="164"/>
      <w:bookmarkStart w:id="165" w:name="_Toc164372666"/>
      <w:bookmarkEnd w:id="165"/>
      <w:bookmarkStart w:id="166" w:name="_Toc164372684"/>
      <w:bookmarkEnd w:id="166"/>
      <w:bookmarkStart w:id="167" w:name="_Toc178254359"/>
      <w:bookmarkStart w:id="168" w:name="_Toc182210682"/>
      <w:bookmarkStart w:id="169" w:name="_Toc178175318"/>
      <w:bookmarkStart w:id="170" w:name="_Toc182210640"/>
      <w:bookmarkStart w:id="171" w:name="_Toc164372689"/>
      <w:r>
        <w:rPr>
          <w:rFonts w:hint="eastAsia"/>
        </w:rPr>
        <w:t>基础照护服务要求</w:t>
      </w:r>
      <w:bookmarkEnd w:id="167"/>
      <w:bookmarkEnd w:id="168"/>
      <w:bookmarkEnd w:id="169"/>
      <w:bookmarkEnd w:id="170"/>
      <w:bookmarkEnd w:id="171"/>
    </w:p>
    <w:p>
      <w:pPr>
        <w:pStyle w:val="90"/>
        <w:spacing w:before="120" w:after="120"/>
        <w:ind w:left="0"/>
      </w:pPr>
      <w:bookmarkStart w:id="172" w:name="_Toc182210641"/>
      <w:bookmarkStart w:id="173" w:name="_Toc164372690"/>
      <w:bookmarkStart w:id="174" w:name="_Toc182210683"/>
      <w:bookmarkStart w:id="175" w:name="_Toc178175319"/>
      <w:bookmarkStart w:id="176" w:name="_Toc178254360"/>
      <w:r>
        <w:rPr>
          <w:rFonts w:hint="eastAsia"/>
        </w:rPr>
        <w:t>日常照护</w:t>
      </w:r>
      <w:bookmarkEnd w:id="172"/>
      <w:bookmarkEnd w:id="173"/>
      <w:bookmarkEnd w:id="174"/>
      <w:bookmarkEnd w:id="175"/>
      <w:bookmarkEnd w:id="176"/>
    </w:p>
    <w:p>
      <w:pPr>
        <w:pStyle w:val="148"/>
        <w:ind w:left="0"/>
      </w:pPr>
      <w:r>
        <w:rPr>
          <w:rFonts w:hint="eastAsia"/>
        </w:rPr>
        <w:t>根据老年人的宗教信仰、民族习惯、健康状况和营养需求，提供个性化的饮食计划和营养餐食。</w:t>
      </w:r>
    </w:p>
    <w:p>
      <w:pPr>
        <w:pStyle w:val="148"/>
        <w:ind w:left="0"/>
      </w:pPr>
      <w:r>
        <w:rPr>
          <w:rFonts w:hint="eastAsia"/>
        </w:rPr>
        <w:t>24小时供应饮用水，白天喂水不应少于每2小时1次。</w:t>
      </w:r>
    </w:p>
    <w:p>
      <w:pPr>
        <w:pStyle w:val="148"/>
        <w:ind w:left="0"/>
      </w:pPr>
      <w:r>
        <w:rPr>
          <w:rFonts w:hint="eastAsia"/>
        </w:rPr>
        <w:t>为老年人布置睡眠环境，包括床单位、室温、灯光、声音等。</w:t>
      </w:r>
    </w:p>
    <w:p>
      <w:pPr>
        <w:pStyle w:val="148"/>
        <w:ind w:left="0"/>
      </w:pPr>
      <w:r>
        <w:rPr>
          <w:rFonts w:hint="eastAsia"/>
        </w:rPr>
        <w:t>提供物品分类放置服务，保持室内外设备和物品摆放整齐。</w:t>
      </w:r>
    </w:p>
    <w:p>
      <w:pPr>
        <w:pStyle w:val="148"/>
        <w:ind w:left="0"/>
      </w:pPr>
      <w:r>
        <w:rPr>
          <w:rFonts w:hint="eastAsia"/>
        </w:rPr>
        <w:t>提供热源、电器、危险物品等安全管理服务。</w:t>
      </w:r>
    </w:p>
    <w:p>
      <w:pPr>
        <w:pStyle w:val="148"/>
        <w:ind w:left="0"/>
      </w:pPr>
      <w:r>
        <w:rPr>
          <w:rFonts w:hint="eastAsia"/>
          <w:color w:val="auto"/>
        </w:rPr>
        <w:t>开展</w:t>
      </w:r>
      <w:r>
        <w:rPr>
          <w:rFonts w:hint="eastAsia"/>
        </w:rPr>
        <w:t>老年人和家属的安全宣教与指导服务。</w:t>
      </w:r>
    </w:p>
    <w:p>
      <w:pPr>
        <w:pStyle w:val="148"/>
        <w:ind w:left="0"/>
      </w:pPr>
      <w:r>
        <w:rPr>
          <w:rFonts w:hint="eastAsia"/>
        </w:rPr>
        <w:t>定期巡视老年人房间，沟通交流，发现身心健康问题，及时处理异常情况。</w:t>
      </w:r>
    </w:p>
    <w:p>
      <w:pPr>
        <w:pStyle w:val="90"/>
        <w:spacing w:before="120" w:after="120"/>
        <w:ind w:left="0"/>
      </w:pPr>
      <w:bookmarkStart w:id="177" w:name="_Toc182210684"/>
      <w:bookmarkStart w:id="178" w:name="_Toc32747"/>
      <w:bookmarkStart w:id="179" w:name="_Toc182210642"/>
      <w:bookmarkStart w:id="180" w:name="_Toc164372691"/>
      <w:bookmarkStart w:id="181" w:name="_Toc178254361"/>
      <w:bookmarkStart w:id="182" w:name="_Toc178175320"/>
      <w:r>
        <w:rPr>
          <w:rFonts w:hint="eastAsia"/>
        </w:rPr>
        <w:t>清洁卫生</w:t>
      </w:r>
      <w:bookmarkEnd w:id="177"/>
      <w:bookmarkEnd w:id="178"/>
      <w:bookmarkEnd w:id="179"/>
      <w:bookmarkEnd w:id="180"/>
      <w:bookmarkEnd w:id="181"/>
      <w:bookmarkEnd w:id="182"/>
    </w:p>
    <w:p>
      <w:pPr>
        <w:pStyle w:val="148"/>
        <w:ind w:left="0"/>
      </w:pPr>
      <w:r>
        <w:rPr>
          <w:rFonts w:hint="eastAsia"/>
        </w:rPr>
        <w:t>每日清扫居室，室内外设备和物品摆放整齐，保持干净。</w:t>
      </w:r>
    </w:p>
    <w:p>
      <w:pPr>
        <w:pStyle w:val="148"/>
        <w:ind w:left="0"/>
      </w:pPr>
      <w:r>
        <w:rPr>
          <w:rFonts w:hint="eastAsia"/>
        </w:rPr>
        <w:t>定期提供公共场所、居室的环境、空气、地面等清洁卫生服务。</w:t>
      </w:r>
    </w:p>
    <w:p>
      <w:pPr>
        <w:pStyle w:val="148"/>
        <w:ind w:left="0"/>
      </w:pPr>
      <w:r>
        <w:rPr>
          <w:rFonts w:hint="eastAsia"/>
        </w:rPr>
        <w:t>定期提供设施、活动用品、日常用品等清洁卫生服务。</w:t>
      </w:r>
    </w:p>
    <w:p>
      <w:pPr>
        <w:pStyle w:val="148"/>
        <w:ind w:left="0"/>
      </w:pPr>
      <w:r>
        <w:rPr>
          <w:rFonts w:hint="eastAsia"/>
        </w:rPr>
        <w:t>定期更换清洗床上用品(床单、被套、枕套)、衣裤，并按规定提供消毒服务。</w:t>
      </w:r>
    </w:p>
    <w:p>
      <w:pPr>
        <w:pStyle w:val="148"/>
        <w:ind w:left="0"/>
      </w:pPr>
      <w:r>
        <w:rPr>
          <w:rFonts w:hint="eastAsia"/>
        </w:rPr>
        <w:t>提供洗头、洗脸、洗手、刷牙、漱口、梳头、理发、剃须、洗足、洗澡、擦浴、修剪指（趾）甲等服务。</w:t>
      </w:r>
    </w:p>
    <w:p>
      <w:pPr>
        <w:pStyle w:val="90"/>
        <w:spacing w:before="120" w:after="120"/>
        <w:ind w:left="0"/>
      </w:pPr>
      <w:bookmarkStart w:id="183" w:name="_Toc164372692"/>
      <w:bookmarkEnd w:id="183"/>
      <w:bookmarkStart w:id="184" w:name="_Toc164372693"/>
      <w:bookmarkStart w:id="185" w:name="_Toc178254362"/>
      <w:bookmarkStart w:id="186" w:name="_Toc22511"/>
      <w:bookmarkStart w:id="187" w:name="_Toc178175321"/>
      <w:bookmarkStart w:id="188" w:name="_Toc182210643"/>
      <w:bookmarkStart w:id="189" w:name="_Toc182210685"/>
      <w:r>
        <w:rPr>
          <w:rFonts w:hint="eastAsia"/>
        </w:rPr>
        <w:t>医疗护理</w:t>
      </w:r>
      <w:bookmarkEnd w:id="184"/>
      <w:bookmarkEnd w:id="185"/>
      <w:bookmarkEnd w:id="186"/>
      <w:bookmarkEnd w:id="187"/>
      <w:bookmarkEnd w:id="188"/>
      <w:bookmarkEnd w:id="189"/>
    </w:p>
    <w:p>
      <w:pPr>
        <w:pStyle w:val="148"/>
        <w:ind w:left="0"/>
      </w:pPr>
      <w:r>
        <w:rPr>
          <w:rFonts w:hint="eastAsia"/>
        </w:rPr>
        <w:t>建立健康档案，按时查房，动态记录健康状况。</w:t>
      </w:r>
    </w:p>
    <w:p>
      <w:pPr>
        <w:pStyle w:val="148"/>
        <w:ind w:left="0"/>
      </w:pPr>
      <w:r>
        <w:rPr>
          <w:rFonts w:hint="eastAsia"/>
        </w:rPr>
        <w:t>提供定期的健康状况监测服务，做好健康宣教工作。</w:t>
      </w:r>
    </w:p>
    <w:p>
      <w:pPr>
        <w:pStyle w:val="148"/>
        <w:ind w:left="0"/>
      </w:pPr>
      <w:r>
        <w:rPr>
          <w:rFonts w:hint="eastAsia"/>
        </w:rPr>
        <w:t>提供慢性病管理，按需监测血压、血糖等。</w:t>
      </w:r>
    </w:p>
    <w:p>
      <w:pPr>
        <w:pStyle w:val="148"/>
        <w:ind w:left="0"/>
      </w:pPr>
      <w:r>
        <w:rPr>
          <w:rFonts w:hint="eastAsia"/>
        </w:rPr>
        <w:t>提供药物管理服务，明确标识，分类保管，做好记录。</w:t>
      </w:r>
    </w:p>
    <w:p>
      <w:pPr>
        <w:pStyle w:val="148"/>
        <w:ind w:left="0"/>
      </w:pPr>
      <w:r>
        <w:rPr>
          <w:rFonts w:hint="eastAsia"/>
        </w:rPr>
        <w:t>提供物理治疗、作业治疗等康复服务，帮助老年人维持或提高身体功能。</w:t>
      </w:r>
    </w:p>
    <w:p>
      <w:pPr>
        <w:pStyle w:val="148"/>
        <w:ind w:left="0"/>
      </w:pPr>
      <w:r>
        <w:rPr>
          <w:rFonts w:hint="eastAsia"/>
        </w:rPr>
        <w:t>协助提供急重症就医服务。</w:t>
      </w:r>
    </w:p>
    <w:p>
      <w:pPr>
        <w:pStyle w:val="90"/>
        <w:spacing w:before="120" w:after="120"/>
        <w:ind w:left="0"/>
      </w:pPr>
      <w:bookmarkStart w:id="190" w:name="_Toc182210644"/>
      <w:bookmarkStart w:id="191" w:name="_Toc164372694"/>
      <w:bookmarkStart w:id="192" w:name="_Toc178254363"/>
      <w:bookmarkStart w:id="193" w:name="_Toc9052"/>
      <w:bookmarkStart w:id="194" w:name="_Toc178175322"/>
      <w:bookmarkStart w:id="195" w:name="_Toc182210686"/>
      <w:r>
        <w:rPr>
          <w:rFonts w:hint="eastAsia"/>
        </w:rPr>
        <w:t>社交娱乐</w:t>
      </w:r>
      <w:bookmarkEnd w:id="190"/>
      <w:bookmarkEnd w:id="191"/>
      <w:bookmarkEnd w:id="192"/>
      <w:bookmarkEnd w:id="193"/>
      <w:bookmarkEnd w:id="194"/>
      <w:bookmarkEnd w:id="195"/>
    </w:p>
    <w:p>
      <w:pPr>
        <w:pStyle w:val="148"/>
        <w:ind w:left="0"/>
      </w:pPr>
      <w:r>
        <w:rPr>
          <w:rFonts w:hint="eastAsia"/>
        </w:rPr>
        <w:t>定期组织文化、娱乐、体育活动及各种兴趣活动。</w:t>
      </w:r>
    </w:p>
    <w:p>
      <w:pPr>
        <w:pStyle w:val="148"/>
        <w:ind w:left="0"/>
      </w:pPr>
      <w:r>
        <w:rPr>
          <w:rFonts w:hint="eastAsia"/>
        </w:rPr>
        <w:t>协助老年人自行组织各类娱乐、健身、兴趣活动。</w:t>
      </w:r>
    </w:p>
    <w:p>
      <w:pPr>
        <w:pStyle w:val="148"/>
        <w:ind w:left="0"/>
      </w:pPr>
      <w:r>
        <w:rPr>
          <w:rFonts w:hint="eastAsia"/>
        </w:rPr>
        <w:t>组织适合特殊需求老年人的社会活动，帮助他们与外界保持联系，减少孤立感。</w:t>
      </w:r>
    </w:p>
    <w:p>
      <w:pPr>
        <w:pStyle w:val="90"/>
        <w:spacing w:before="120" w:after="120"/>
        <w:ind w:left="0"/>
      </w:pPr>
      <w:bookmarkStart w:id="196" w:name="_Toc182210687"/>
      <w:bookmarkStart w:id="197" w:name="_Toc178254364"/>
      <w:bookmarkStart w:id="198" w:name="_Toc182210645"/>
      <w:bookmarkStart w:id="199" w:name="_Toc164372695"/>
      <w:bookmarkStart w:id="200" w:name="_Toc9243"/>
      <w:bookmarkStart w:id="201" w:name="_Toc178175323"/>
      <w:r>
        <w:rPr>
          <w:rFonts w:hint="eastAsia"/>
        </w:rPr>
        <w:t>心理/精神支持</w:t>
      </w:r>
      <w:bookmarkEnd w:id="196"/>
      <w:bookmarkEnd w:id="197"/>
      <w:bookmarkEnd w:id="198"/>
      <w:bookmarkEnd w:id="199"/>
      <w:bookmarkEnd w:id="200"/>
      <w:bookmarkEnd w:id="201"/>
    </w:p>
    <w:p>
      <w:pPr>
        <w:pStyle w:val="148"/>
        <w:ind w:left="0"/>
      </w:pPr>
      <w:r>
        <w:rPr>
          <w:rFonts w:hint="eastAsia"/>
        </w:rPr>
        <w:t>观察老年人情绪、行为动态，对于认知障碍、情绪异常、精神行为异常的老年人采取不同方式开展心理疏导、情绪安抚。</w:t>
      </w:r>
    </w:p>
    <w:p>
      <w:pPr>
        <w:pStyle w:val="148"/>
        <w:ind w:left="0"/>
      </w:pPr>
      <w:r>
        <w:rPr>
          <w:rFonts w:hint="eastAsia"/>
        </w:rPr>
        <w:t>定期组织机构内部和外部的志愿服务，开展各类志愿服务活动，增进老年人身心健康。</w:t>
      </w:r>
    </w:p>
    <w:p>
      <w:pPr>
        <w:pStyle w:val="89"/>
        <w:spacing w:before="240" w:after="240"/>
      </w:pPr>
      <w:bookmarkStart w:id="202" w:name="_Toc164372696"/>
      <w:bookmarkStart w:id="203" w:name="_Toc182210688"/>
      <w:bookmarkStart w:id="204" w:name="_Toc178254365"/>
      <w:bookmarkStart w:id="205" w:name="_Toc182210646"/>
      <w:bookmarkStart w:id="206" w:name="_Toc178175324"/>
      <w:r>
        <w:rPr>
          <w:rFonts w:hint="eastAsia"/>
        </w:rPr>
        <w:t>分级照护服务要求</w:t>
      </w:r>
      <w:bookmarkEnd w:id="202"/>
      <w:bookmarkEnd w:id="203"/>
      <w:bookmarkEnd w:id="204"/>
      <w:bookmarkEnd w:id="205"/>
      <w:bookmarkEnd w:id="206"/>
    </w:p>
    <w:p>
      <w:pPr>
        <w:pStyle w:val="90"/>
        <w:spacing w:before="120" w:after="120"/>
        <w:ind w:left="0"/>
      </w:pPr>
      <w:bookmarkStart w:id="207" w:name="_Toc182210689"/>
      <w:bookmarkStart w:id="208" w:name="_Toc164372697"/>
      <w:bookmarkStart w:id="209" w:name="_Toc182210647"/>
      <w:bookmarkStart w:id="210" w:name="_Toc178175325"/>
      <w:bookmarkStart w:id="211" w:name="_Toc178254366"/>
      <w:r>
        <w:rPr>
          <w:rFonts w:hint="eastAsia"/>
        </w:rPr>
        <w:t>一级照护（自理级）</w:t>
      </w:r>
      <w:bookmarkEnd w:id="207"/>
      <w:bookmarkEnd w:id="208"/>
      <w:bookmarkEnd w:id="209"/>
      <w:bookmarkEnd w:id="210"/>
      <w:bookmarkEnd w:id="211"/>
    </w:p>
    <w:p>
      <w:pPr>
        <w:pStyle w:val="46"/>
        <w:ind w:firstLine="420"/>
      </w:pPr>
      <w:r>
        <w:rPr>
          <w:rFonts w:hint="eastAsia"/>
        </w:rPr>
        <w:t>在提供基础照护服务之外，还应提供以下服务：</w:t>
      </w:r>
    </w:p>
    <w:p>
      <w:pPr>
        <w:pStyle w:val="117"/>
      </w:pPr>
      <w:r>
        <w:rPr>
          <w:rFonts w:hint="eastAsia"/>
        </w:rPr>
        <w:t>每天巡视房间，及时了解老年人的身心变化、异常情况，提供咨询、指导服务；</w:t>
      </w:r>
    </w:p>
    <w:p>
      <w:pPr>
        <w:pStyle w:val="117"/>
      </w:pPr>
      <w:r>
        <w:rPr>
          <w:rFonts w:hint="eastAsia"/>
        </w:rPr>
        <w:t>督促引导老年人建立良好的生活方式，做好个人卫生，保持床单位及个人衣物整洁；</w:t>
      </w:r>
    </w:p>
    <w:p>
      <w:pPr>
        <w:pStyle w:val="117"/>
      </w:pPr>
      <w:r>
        <w:rPr>
          <w:rFonts w:hint="eastAsia"/>
        </w:rPr>
        <w:t>督促老年人积极参与健身、娱乐、学习等活动。</w:t>
      </w:r>
    </w:p>
    <w:p>
      <w:pPr>
        <w:pStyle w:val="90"/>
        <w:spacing w:before="120" w:after="120"/>
        <w:ind w:left="0"/>
      </w:pPr>
      <w:bookmarkStart w:id="212" w:name="_Toc182210690"/>
      <w:bookmarkStart w:id="213" w:name="_Toc178254367"/>
      <w:bookmarkStart w:id="214" w:name="_Toc178175326"/>
      <w:bookmarkStart w:id="215" w:name="_Toc182210648"/>
      <w:bookmarkStart w:id="216" w:name="_Toc164372698"/>
      <w:r>
        <w:rPr>
          <w:rFonts w:hint="eastAsia"/>
        </w:rPr>
        <w:t>二级照护（协助一级）</w:t>
      </w:r>
      <w:bookmarkEnd w:id="212"/>
      <w:bookmarkEnd w:id="213"/>
      <w:bookmarkEnd w:id="214"/>
      <w:bookmarkEnd w:id="215"/>
      <w:bookmarkEnd w:id="216"/>
    </w:p>
    <w:p>
      <w:pPr>
        <w:pStyle w:val="46"/>
        <w:ind w:firstLine="420"/>
      </w:pPr>
      <w:r>
        <w:rPr>
          <w:rFonts w:hint="eastAsia"/>
        </w:rPr>
        <w:t>在提供基础照护服务之外，还应提供以下服务：</w:t>
      </w:r>
    </w:p>
    <w:p>
      <w:pPr>
        <w:pStyle w:val="117"/>
      </w:pPr>
      <w:r>
        <w:rPr>
          <w:rFonts w:hint="eastAsia"/>
        </w:rPr>
        <w:t>每天巡视房间，及时了解老年人的异常情况，为老年人提供咨询、指导服务；</w:t>
      </w:r>
    </w:p>
    <w:p>
      <w:pPr>
        <w:pStyle w:val="117"/>
      </w:pPr>
      <w:r>
        <w:rPr>
          <w:rFonts w:hint="eastAsia"/>
        </w:rPr>
        <w:t>指导、协助老年人建立健康的生活方式，指导、协助老年人做好个人卫生及环境卫生，保持床单位及个人物品的整洁，协助修剪指(趾)甲；</w:t>
      </w:r>
    </w:p>
    <w:p>
      <w:pPr>
        <w:pStyle w:val="117"/>
      </w:pPr>
      <w:r>
        <w:rPr>
          <w:rFonts w:hint="eastAsia"/>
        </w:rPr>
        <w:t>协助老年人积极参与各类娱乐、健身、兴趣、学习等活动，组织志愿者为有需要的老年人提供出行陪伴、协助开展各类活动等；</w:t>
      </w:r>
    </w:p>
    <w:p>
      <w:pPr>
        <w:pStyle w:val="117"/>
      </w:pPr>
      <w:r>
        <w:rPr>
          <w:rFonts w:hint="eastAsia"/>
        </w:rPr>
        <w:t>协助老年人用餐、饮水和所需的各项活动。</w:t>
      </w:r>
    </w:p>
    <w:p>
      <w:pPr>
        <w:pStyle w:val="90"/>
        <w:spacing w:before="120" w:after="120"/>
        <w:ind w:left="0"/>
      </w:pPr>
      <w:bookmarkStart w:id="217" w:name="_Toc164372699"/>
      <w:bookmarkStart w:id="218" w:name="_Toc178175327"/>
      <w:bookmarkStart w:id="219" w:name="_Toc178254368"/>
      <w:bookmarkStart w:id="220" w:name="_Toc182210691"/>
      <w:bookmarkStart w:id="221" w:name="_Toc182210649"/>
      <w:r>
        <w:rPr>
          <w:rFonts w:hint="eastAsia"/>
        </w:rPr>
        <w:t>三级照护（协助二级）</w:t>
      </w:r>
      <w:bookmarkEnd w:id="217"/>
      <w:bookmarkEnd w:id="218"/>
      <w:bookmarkEnd w:id="219"/>
      <w:bookmarkEnd w:id="220"/>
      <w:bookmarkEnd w:id="221"/>
    </w:p>
    <w:p>
      <w:pPr>
        <w:pStyle w:val="46"/>
        <w:ind w:firstLine="420"/>
      </w:pPr>
      <w:r>
        <w:rPr>
          <w:rFonts w:hint="eastAsia"/>
        </w:rPr>
        <w:t>在提供基础照护服务之外，还应提供以下服务：</w:t>
      </w:r>
    </w:p>
    <w:p>
      <w:pPr>
        <w:pStyle w:val="117"/>
      </w:pPr>
      <w:r>
        <w:rPr>
          <w:rFonts w:hint="eastAsia"/>
        </w:rPr>
        <w:t>每天定时巡视房间，</w:t>
      </w:r>
      <w:r>
        <w:rPr>
          <w:rFonts w:hint="eastAsia"/>
          <w:color w:val="auto"/>
        </w:rPr>
        <w:t>宜每</w:t>
      </w:r>
      <w:r>
        <w:rPr>
          <w:rFonts w:hint="eastAsia"/>
        </w:rPr>
        <w:t>1.5小时1次，及时了解老年人的身心变化，为老年人提供咨询、指导服务；</w:t>
      </w:r>
    </w:p>
    <w:p>
      <w:pPr>
        <w:pStyle w:val="117"/>
      </w:pPr>
      <w:r>
        <w:rPr>
          <w:rFonts w:hint="eastAsia"/>
        </w:rPr>
        <w:t>提供合适辅具，帮助老年人做好个人卫生，帮助其洗澡、洗头，定期修剪指(趾)甲，做好环境卫生，保持老年人身体及室内环境整洁；</w:t>
      </w:r>
    </w:p>
    <w:p>
      <w:pPr>
        <w:pStyle w:val="117"/>
      </w:pPr>
      <w:r>
        <w:rPr>
          <w:rFonts w:hint="eastAsia"/>
        </w:rPr>
        <w:t>帮助老年人用餐、饮水和所需的各项活动；提供送餐服务，按需帮助老年人到餐厅就餐。</w:t>
      </w:r>
    </w:p>
    <w:p>
      <w:pPr>
        <w:pStyle w:val="90"/>
        <w:spacing w:before="120" w:after="120"/>
        <w:ind w:left="0"/>
      </w:pPr>
      <w:bookmarkStart w:id="222" w:name="_Toc182210650"/>
      <w:bookmarkStart w:id="223" w:name="_Toc182210692"/>
      <w:bookmarkStart w:id="224" w:name="_Toc178254369"/>
      <w:bookmarkStart w:id="225" w:name="_Toc178175328"/>
      <w:bookmarkStart w:id="226" w:name="_Toc164372700"/>
      <w:r>
        <w:rPr>
          <w:rFonts w:hint="eastAsia"/>
        </w:rPr>
        <w:t>四级照护（照护一级）</w:t>
      </w:r>
      <w:bookmarkEnd w:id="222"/>
      <w:bookmarkEnd w:id="223"/>
      <w:bookmarkEnd w:id="224"/>
      <w:bookmarkEnd w:id="225"/>
      <w:bookmarkEnd w:id="226"/>
    </w:p>
    <w:p>
      <w:pPr>
        <w:pStyle w:val="46"/>
        <w:ind w:firstLine="420"/>
      </w:pPr>
      <w:r>
        <w:rPr>
          <w:rFonts w:hint="eastAsia"/>
        </w:rPr>
        <w:t>在提供基础照护服务之外，还应提供以下服务：</w:t>
      </w:r>
    </w:p>
    <w:p>
      <w:pPr>
        <w:pStyle w:val="117"/>
      </w:pPr>
      <w:r>
        <w:rPr>
          <w:rFonts w:hint="eastAsia"/>
        </w:rPr>
        <w:t>每天定时巡视房间，</w:t>
      </w:r>
      <w:r>
        <w:rPr>
          <w:rFonts w:hint="eastAsia"/>
          <w:color w:val="auto"/>
        </w:rPr>
        <w:t>宜</w:t>
      </w:r>
      <w:r>
        <w:rPr>
          <w:rFonts w:hint="eastAsia"/>
        </w:rPr>
        <w:t>每1小时1次，及时了解老年人的身心变化，为老年人提供咨询、指导服务；</w:t>
      </w:r>
    </w:p>
    <w:p>
      <w:pPr>
        <w:pStyle w:val="117"/>
      </w:pPr>
      <w:r>
        <w:rPr>
          <w:rFonts w:hint="eastAsia"/>
        </w:rPr>
        <w:t>做好晨间护理和晚间护理，按需提供辅具，帮助老年人洗脸、刷牙、洗脚、清洁会阴、洗澡、洗头、帮助如厕等；</w:t>
      </w:r>
    </w:p>
    <w:p>
      <w:pPr>
        <w:pStyle w:val="117"/>
      </w:pPr>
      <w:r>
        <w:rPr>
          <w:rFonts w:hint="eastAsia"/>
        </w:rPr>
        <w:t>送餐到床前，利用辅具等尽量帮助(提供喂水、喂食服务)老年人进水、进食，保证老年人摄入适宜的食物和水；</w:t>
      </w:r>
    </w:p>
    <w:p>
      <w:pPr>
        <w:pStyle w:val="117"/>
      </w:pPr>
      <w:r>
        <w:rPr>
          <w:rFonts w:hint="eastAsia"/>
        </w:rPr>
        <w:t>帮助老年人每天离床活动不少于1次；</w:t>
      </w:r>
    </w:p>
    <w:p>
      <w:pPr>
        <w:pStyle w:val="117"/>
      </w:pPr>
      <w:r>
        <w:rPr>
          <w:rFonts w:hint="eastAsia"/>
        </w:rPr>
        <w:t>根据医嘱要求，记录老年人饮食和排泄量；</w:t>
      </w:r>
    </w:p>
    <w:p>
      <w:pPr>
        <w:pStyle w:val="117"/>
      </w:pPr>
      <w:r>
        <w:rPr>
          <w:rFonts w:hint="eastAsia"/>
        </w:rPr>
        <w:t>协助清理大小便，穿脱纸尿裤，保持老年人良好的个人卫生和环境整洁，无异味；</w:t>
      </w:r>
    </w:p>
    <w:p>
      <w:pPr>
        <w:pStyle w:val="117"/>
      </w:pPr>
      <w:r>
        <w:rPr>
          <w:rFonts w:hint="eastAsia"/>
        </w:rPr>
        <w:t>提供胃、尿道等管路护理、压疮护理、康复护理和其他针对性的护理服务。</w:t>
      </w:r>
    </w:p>
    <w:p>
      <w:pPr>
        <w:pStyle w:val="117"/>
      </w:pPr>
      <w:r>
        <w:rPr>
          <w:rFonts w:hint="eastAsia"/>
        </w:rPr>
        <w:t>压疮护理按</w:t>
      </w:r>
      <w:r>
        <w:t>MZ/T 132</w:t>
      </w:r>
      <w:r>
        <w:rPr>
          <w:rFonts w:hint="eastAsia"/>
        </w:rPr>
        <w:t>执行。</w:t>
      </w:r>
    </w:p>
    <w:p>
      <w:pPr>
        <w:pStyle w:val="90"/>
        <w:spacing w:before="120" w:after="120"/>
        <w:ind w:left="0"/>
      </w:pPr>
      <w:bookmarkStart w:id="227" w:name="_Toc164372701"/>
      <w:bookmarkStart w:id="228" w:name="_Toc182210651"/>
      <w:bookmarkStart w:id="229" w:name="_Toc182210693"/>
      <w:bookmarkStart w:id="230" w:name="_Toc178254370"/>
      <w:bookmarkStart w:id="231" w:name="_Toc178175329"/>
      <w:r>
        <w:rPr>
          <w:rFonts w:hint="eastAsia"/>
        </w:rPr>
        <w:t>五级照护（照护二级）</w:t>
      </w:r>
      <w:bookmarkEnd w:id="227"/>
      <w:bookmarkEnd w:id="228"/>
      <w:bookmarkEnd w:id="229"/>
      <w:bookmarkEnd w:id="230"/>
      <w:bookmarkEnd w:id="231"/>
    </w:p>
    <w:p>
      <w:pPr>
        <w:pStyle w:val="46"/>
        <w:ind w:firstLine="420"/>
      </w:pPr>
      <w:r>
        <w:rPr>
          <w:rFonts w:hint="eastAsia"/>
        </w:rPr>
        <w:t>在提供基础照护服务之外，还应提供以下服务：</w:t>
      </w:r>
    </w:p>
    <w:p>
      <w:pPr>
        <w:pStyle w:val="117"/>
      </w:pPr>
      <w:r>
        <w:rPr>
          <w:rFonts w:hint="eastAsia"/>
          <w:color w:val="auto"/>
        </w:rPr>
        <w:t>按需提</w:t>
      </w:r>
      <w:r>
        <w:rPr>
          <w:rFonts w:hint="eastAsia"/>
        </w:rPr>
        <w:t>供床边服务；</w:t>
      </w:r>
    </w:p>
    <w:p>
      <w:pPr>
        <w:pStyle w:val="117"/>
      </w:pPr>
      <w:r>
        <w:rPr>
          <w:rFonts w:hint="eastAsia"/>
        </w:rPr>
        <w:t>做好晨间护理和晚间护理，按需提供辅具，帮助老年人洗脸、刷牙、洗脚、清洁会阴、洗澡、洗头、帮助如厕等；</w:t>
      </w:r>
    </w:p>
    <w:p>
      <w:pPr>
        <w:pStyle w:val="117"/>
      </w:pPr>
      <w:r>
        <w:rPr>
          <w:rFonts w:hint="eastAsia"/>
        </w:rPr>
        <w:t>送餐到床前，利用辅具等协助(提供喂水、喂食服务)老年人进水、进食，保证老年人摄入足够的食物和水；</w:t>
      </w:r>
    </w:p>
    <w:p>
      <w:pPr>
        <w:pStyle w:val="117"/>
      </w:pPr>
      <w:r>
        <w:rPr>
          <w:rFonts w:hint="eastAsia"/>
        </w:rPr>
        <w:t>帮助老年人离床活动每天不少于1次；</w:t>
      </w:r>
    </w:p>
    <w:p>
      <w:pPr>
        <w:pStyle w:val="117"/>
      </w:pPr>
      <w:r>
        <w:rPr>
          <w:rFonts w:hint="eastAsia"/>
        </w:rPr>
        <w:t>建立翻身卡，定时按摩、擦身，保持床单位整洁，预防皮肤损伤发生压疮；</w:t>
      </w:r>
    </w:p>
    <w:p>
      <w:pPr>
        <w:pStyle w:val="117"/>
      </w:pPr>
      <w:r>
        <w:rPr>
          <w:rFonts w:hint="eastAsia"/>
        </w:rPr>
        <w:t>根据医嘱要求，记录老年人饮食和排泄量；</w:t>
      </w:r>
    </w:p>
    <w:p>
      <w:pPr>
        <w:pStyle w:val="117"/>
      </w:pPr>
      <w:r>
        <w:rPr>
          <w:rFonts w:hint="eastAsia"/>
        </w:rPr>
        <w:t>清理大小便，穿脱纸尿裤，保持老年人良好的个人卫生和环境整洁，无异味；</w:t>
      </w:r>
    </w:p>
    <w:p>
      <w:pPr>
        <w:pStyle w:val="117"/>
      </w:pPr>
      <w:r>
        <w:rPr>
          <w:rFonts w:hint="eastAsia"/>
        </w:rPr>
        <w:t>提供胃、尿道等管路护理、压疮护理、康复护理和其他针对性的护理服务。</w:t>
      </w:r>
    </w:p>
    <w:p>
      <w:pPr>
        <w:pStyle w:val="90"/>
        <w:spacing w:before="120" w:after="120"/>
        <w:ind w:left="0"/>
      </w:pPr>
      <w:bookmarkStart w:id="232" w:name="_Toc164372702"/>
      <w:bookmarkStart w:id="233" w:name="_Toc182210694"/>
      <w:bookmarkStart w:id="234" w:name="_Toc178175330"/>
      <w:bookmarkStart w:id="235" w:name="_Toc182210652"/>
      <w:bookmarkStart w:id="236" w:name="_Toc178254371"/>
      <w:r>
        <w:rPr>
          <w:rFonts w:hint="eastAsia"/>
        </w:rPr>
        <w:t>六级照护（照护三级、全照护级）</w:t>
      </w:r>
      <w:bookmarkEnd w:id="232"/>
      <w:bookmarkEnd w:id="233"/>
      <w:bookmarkEnd w:id="234"/>
      <w:bookmarkEnd w:id="235"/>
      <w:bookmarkEnd w:id="236"/>
    </w:p>
    <w:p>
      <w:pPr>
        <w:pStyle w:val="46"/>
        <w:ind w:firstLine="420"/>
      </w:pPr>
      <w:r>
        <w:rPr>
          <w:rFonts w:hint="eastAsia"/>
        </w:rPr>
        <w:t>在提供基础照护服务之外，还应提供以下服务：</w:t>
      </w:r>
    </w:p>
    <w:p>
      <w:pPr>
        <w:pStyle w:val="117"/>
      </w:pPr>
      <w:r>
        <w:rPr>
          <w:rFonts w:hint="eastAsia"/>
        </w:rPr>
        <w:t>提供</w:t>
      </w:r>
      <w:r>
        <w:rPr>
          <w:rFonts w:hint="eastAsia"/>
          <w:lang w:eastAsia="zh-CN"/>
        </w:rPr>
        <w:t>床</w:t>
      </w:r>
      <w:r>
        <w:rPr>
          <w:rFonts w:hint="eastAsia"/>
        </w:rPr>
        <w:t>边服务；</w:t>
      </w:r>
    </w:p>
    <w:p>
      <w:pPr>
        <w:pStyle w:val="117"/>
      </w:pPr>
      <w:r>
        <w:rPr>
          <w:rFonts w:hint="eastAsia"/>
        </w:rPr>
        <w:t>做好晨间护理和晚间护理，</w:t>
      </w:r>
      <w:bookmarkStart w:id="237" w:name="_Hlk164371403"/>
      <w:r>
        <w:rPr>
          <w:rFonts w:hint="eastAsia"/>
        </w:rPr>
        <w:t>按需提供辅具，</w:t>
      </w:r>
      <w:bookmarkEnd w:id="237"/>
      <w:r>
        <w:rPr>
          <w:rFonts w:hint="eastAsia"/>
        </w:rPr>
        <w:t>帮助老年人洗脸、刷牙、洗脚、清洁会阴、洗澡或擦浴、洗头、帮助如厕等；</w:t>
      </w:r>
    </w:p>
    <w:p>
      <w:pPr>
        <w:pStyle w:val="117"/>
      </w:pPr>
      <w:r>
        <w:rPr>
          <w:rFonts w:hint="eastAsia"/>
        </w:rPr>
        <w:t>送餐到床前，利用辅具等帮助(提供喂水、喂食服务)老年人进水、进食，保证老年人摄入足够的食物和水；</w:t>
      </w:r>
    </w:p>
    <w:p>
      <w:pPr>
        <w:pStyle w:val="117"/>
      </w:pPr>
      <w:r>
        <w:rPr>
          <w:rFonts w:hint="eastAsia"/>
        </w:rPr>
        <w:t>帮助老年人离床活动每天不少于1次；</w:t>
      </w:r>
    </w:p>
    <w:p>
      <w:pPr>
        <w:pStyle w:val="117"/>
      </w:pPr>
      <w:r>
        <w:rPr>
          <w:rFonts w:hint="eastAsia"/>
        </w:rPr>
        <w:t>建立翻身卡，定时按摩、擦身，保持床单位整洁，预防皮肤损伤发生压疮；</w:t>
      </w:r>
    </w:p>
    <w:p>
      <w:pPr>
        <w:pStyle w:val="117"/>
      </w:pPr>
      <w:r>
        <w:rPr>
          <w:rFonts w:hint="eastAsia"/>
        </w:rPr>
        <w:t>根据医嘱要求，记录老年人饮食和排泄量；</w:t>
      </w:r>
    </w:p>
    <w:p>
      <w:pPr>
        <w:pStyle w:val="117"/>
        <w:rPr>
          <w:color w:val="auto"/>
        </w:rPr>
      </w:pPr>
      <w:bookmarkStart w:id="288" w:name="_GoBack"/>
      <w:r>
        <w:rPr>
          <w:rFonts w:hint="eastAsia"/>
          <w:color w:val="auto"/>
        </w:rPr>
        <w:t>定时检查并及时更换纸尿裤、尿袋、护理垫，发现尿布疹或压疮及时处置；</w:t>
      </w:r>
    </w:p>
    <w:p>
      <w:pPr>
        <w:pStyle w:val="117"/>
        <w:rPr>
          <w:color w:val="auto"/>
        </w:rPr>
      </w:pPr>
      <w:r>
        <w:rPr>
          <w:rFonts w:hint="eastAsia"/>
          <w:color w:val="auto"/>
        </w:rPr>
        <w:t>提供胃、尿道等管路护理、压疮护理、康复护理和其他针对性的护理服务；</w:t>
      </w:r>
    </w:p>
    <w:p>
      <w:pPr>
        <w:pStyle w:val="117"/>
        <w:rPr>
          <w:color w:val="auto"/>
        </w:rPr>
      </w:pPr>
      <w:r>
        <w:rPr>
          <w:rFonts w:hint="eastAsia"/>
          <w:color w:val="auto"/>
        </w:rPr>
        <w:t>对长期坐轮椅、长期卧床的老年人，应定时协助转换体位。</w:t>
      </w:r>
    </w:p>
    <w:bookmarkEnd w:id="288"/>
    <w:p>
      <w:pPr>
        <w:pStyle w:val="117"/>
      </w:pPr>
      <w:r>
        <w:rPr>
          <w:rFonts w:hint="eastAsia"/>
        </w:rPr>
        <w:t>定时摇高床头，开展被动锻炼。</w:t>
      </w:r>
    </w:p>
    <w:p>
      <w:pPr>
        <w:pStyle w:val="90"/>
        <w:spacing w:before="120" w:after="120"/>
        <w:ind w:left="0"/>
      </w:pPr>
      <w:bookmarkStart w:id="238" w:name="_Toc182210695"/>
      <w:bookmarkStart w:id="239" w:name="_Toc182210653"/>
      <w:bookmarkStart w:id="240" w:name="_Toc164372703"/>
      <w:bookmarkStart w:id="241" w:name="_Toc178254372"/>
      <w:bookmarkStart w:id="242" w:name="_Toc178175331"/>
      <w:r>
        <w:rPr>
          <w:rFonts w:hint="eastAsia"/>
        </w:rPr>
        <w:t>七级照护（特殊照护）</w:t>
      </w:r>
      <w:bookmarkEnd w:id="238"/>
      <w:bookmarkEnd w:id="239"/>
      <w:bookmarkEnd w:id="240"/>
      <w:bookmarkEnd w:id="241"/>
      <w:bookmarkEnd w:id="242"/>
    </w:p>
    <w:p>
      <w:pPr>
        <w:pStyle w:val="46"/>
        <w:ind w:firstLine="420"/>
      </w:pPr>
      <w:bookmarkStart w:id="243" w:name="_Hlk160979113"/>
      <w:r>
        <w:rPr>
          <w:rFonts w:hint="eastAsia"/>
        </w:rPr>
        <w:t>在提供基础照护服务之外，还应提供以下服务：</w:t>
      </w:r>
    </w:p>
    <w:bookmarkEnd w:id="243"/>
    <w:p>
      <w:pPr>
        <w:pStyle w:val="117"/>
      </w:pPr>
      <w:r>
        <w:rPr>
          <w:rFonts w:hint="eastAsia"/>
        </w:rPr>
        <w:t>提供持续的床边护理；</w:t>
      </w:r>
    </w:p>
    <w:p>
      <w:pPr>
        <w:pStyle w:val="117"/>
      </w:pPr>
      <w:r>
        <w:rPr>
          <w:rFonts w:hint="eastAsia"/>
        </w:rPr>
        <w:t>根据老年人情况及老年人身体、心理、疾病及社会参与等特殊需求，制定详细的个性化护理计划，提供有针对性的护理服务，并定期更新以适应老年人的变化情况，随时记录；</w:t>
      </w:r>
    </w:p>
    <w:p>
      <w:pPr>
        <w:pStyle w:val="117"/>
      </w:pPr>
      <w:r>
        <w:rPr>
          <w:rFonts w:hint="eastAsia"/>
        </w:rPr>
        <w:t>为有鼻饲或者留置导尿或者膀胱造瘘或者胃肠道造瘘者提供专业照护服务；</w:t>
      </w:r>
    </w:p>
    <w:p>
      <w:pPr>
        <w:pStyle w:val="117"/>
      </w:pPr>
      <w:r>
        <w:rPr>
          <w:rFonts w:hint="eastAsia"/>
        </w:rPr>
        <w:t>为Ⅲ度以上压疮者提供照护服务。对高风险老年人进行压疮预防教育，定期翻身，使用减压垫等辅助物品，及时处理皮肤问题，防止压疮发生；</w:t>
      </w:r>
    </w:p>
    <w:p>
      <w:pPr>
        <w:pStyle w:val="117"/>
      </w:pPr>
      <w:r>
        <w:rPr>
          <w:rFonts w:hint="eastAsia"/>
        </w:rPr>
        <w:t>对经医生确认可以入住机构的气管切开者，为其提供吸痰、清理呼吸道、口腔护理等服务；</w:t>
      </w:r>
    </w:p>
    <w:p>
      <w:pPr>
        <w:pStyle w:val="117"/>
      </w:pPr>
      <w:r>
        <w:rPr>
          <w:rFonts w:hint="eastAsia"/>
        </w:rPr>
        <w:t>为有异常行为，影响他人日常生活和睡眠，需要专门照护者提供药物治疗、心理治疗、行为疗法、环境调整等个性化干预服务；</w:t>
      </w:r>
    </w:p>
    <w:p>
      <w:pPr>
        <w:pStyle w:val="117"/>
      </w:pPr>
      <w:r>
        <w:rPr>
          <w:rFonts w:hint="eastAsia"/>
        </w:rPr>
        <w:t>为有特殊医疗需求的老年人提供专业的医疗设备、药物管理和专业医护人员持续监护；</w:t>
      </w:r>
    </w:p>
    <w:p>
      <w:pPr>
        <w:pStyle w:val="117"/>
      </w:pPr>
      <w:r>
        <w:rPr>
          <w:rFonts w:hint="eastAsia"/>
        </w:rPr>
        <w:t>对于需要康复的老年人，提供物理治疗、作业治疗等康复服务，帮助他们恢复或提高身体功能；</w:t>
      </w:r>
    </w:p>
    <w:p>
      <w:pPr>
        <w:pStyle w:val="117"/>
      </w:pPr>
      <w:r>
        <w:rPr>
          <w:rFonts w:hint="eastAsia"/>
        </w:rPr>
        <w:t>为生命末期的老年人提供安宁疗护和心理慰藉，包括疼痛管理、心理疏导、家属支持等，确保他们在生命的最后阶段得到尊严和舒适的护理；</w:t>
      </w:r>
    </w:p>
    <w:p>
      <w:pPr>
        <w:pStyle w:val="117"/>
      </w:pPr>
      <w:r>
        <w:rPr>
          <w:rFonts w:hint="eastAsia"/>
        </w:rPr>
        <w:t>其他非老年人身心原因，经双方商定需要专门照护者；</w:t>
      </w:r>
    </w:p>
    <w:p>
      <w:pPr>
        <w:pStyle w:val="117"/>
      </w:pPr>
      <w:r>
        <w:rPr>
          <w:rFonts w:hint="eastAsia"/>
        </w:rPr>
        <w:t>定期与老年人的家属沟通，让他们了解老年人的状况和护理计划，同时提供必要的护理培训和支持，以便家属能更好地参与到老年人的护理中来；</w:t>
      </w:r>
    </w:p>
    <w:p>
      <w:pPr>
        <w:pStyle w:val="117"/>
      </w:pPr>
      <w:r>
        <w:rPr>
          <w:rFonts w:hint="eastAsia"/>
        </w:rPr>
        <w:t>建立完善的紧急呼叫和应急响应机制，确保老年人出现紧急情况时能够迅速得到妥善处理；</w:t>
      </w:r>
    </w:p>
    <w:p>
      <w:pPr>
        <w:pStyle w:val="117"/>
      </w:pPr>
      <w:r>
        <w:rPr>
          <w:rFonts w:hint="eastAsia"/>
        </w:rPr>
        <w:t>根据老年人的特殊需求调整其居住和活动环境，如增加无障碍设施、改善照明和声学条件等。</w:t>
      </w:r>
    </w:p>
    <w:p>
      <w:pPr>
        <w:pStyle w:val="90"/>
        <w:spacing w:before="120" w:after="120"/>
      </w:pPr>
      <w:bookmarkStart w:id="244" w:name="_Toc178175342"/>
      <w:bookmarkEnd w:id="244"/>
      <w:bookmarkStart w:id="245" w:name="_Toc178175335"/>
      <w:bookmarkEnd w:id="245"/>
      <w:bookmarkStart w:id="246" w:name="_Toc178175340"/>
      <w:bookmarkEnd w:id="246"/>
      <w:bookmarkStart w:id="247" w:name="_Toc178175336"/>
      <w:bookmarkEnd w:id="247"/>
      <w:bookmarkStart w:id="248" w:name="_Toc164372704"/>
      <w:bookmarkEnd w:id="248"/>
      <w:bookmarkStart w:id="249" w:name="_Toc178175338"/>
      <w:bookmarkEnd w:id="249"/>
      <w:bookmarkStart w:id="250" w:name="_Toc164372705"/>
      <w:bookmarkEnd w:id="250"/>
      <w:bookmarkStart w:id="251" w:name="_Toc178175333"/>
      <w:bookmarkEnd w:id="251"/>
      <w:bookmarkStart w:id="252" w:name="_Toc178175341"/>
      <w:bookmarkEnd w:id="252"/>
      <w:bookmarkStart w:id="253" w:name="_Toc178175332"/>
      <w:bookmarkEnd w:id="253"/>
      <w:bookmarkStart w:id="254" w:name="_Toc178175334"/>
      <w:bookmarkEnd w:id="254"/>
      <w:bookmarkStart w:id="255" w:name="_Toc178175339"/>
      <w:bookmarkEnd w:id="255"/>
      <w:bookmarkStart w:id="256" w:name="_Toc178175337"/>
      <w:bookmarkEnd w:id="256"/>
      <w:bookmarkStart w:id="257" w:name="_Toc178175343"/>
      <w:bookmarkEnd w:id="257"/>
      <w:bookmarkStart w:id="258" w:name="_Toc178175344"/>
      <w:bookmarkStart w:id="259" w:name="_Toc164372706"/>
      <w:bookmarkStart w:id="260" w:name="_Toc182210654"/>
      <w:bookmarkStart w:id="261" w:name="_Toc182210696"/>
      <w:bookmarkStart w:id="262" w:name="_Toc178254373"/>
      <w:bookmarkStart w:id="263" w:name="_Hlk160979634"/>
      <w:r>
        <w:rPr>
          <w:rFonts w:hint="eastAsia"/>
        </w:rPr>
        <w:t>八级照护（认知功能障碍照护一级）</w:t>
      </w:r>
      <w:bookmarkEnd w:id="258"/>
      <w:bookmarkEnd w:id="259"/>
      <w:bookmarkEnd w:id="260"/>
      <w:bookmarkEnd w:id="261"/>
      <w:bookmarkEnd w:id="262"/>
    </w:p>
    <w:bookmarkEnd w:id="263"/>
    <w:p>
      <w:pPr>
        <w:pStyle w:val="46"/>
        <w:ind w:firstLine="420"/>
      </w:pPr>
      <w:r>
        <w:rPr>
          <w:rFonts w:hint="eastAsia"/>
        </w:rPr>
        <w:t>在提供基础照护服务之外，还应提供以下特殊服务：</w:t>
      </w:r>
    </w:p>
    <w:p>
      <w:pPr>
        <w:pStyle w:val="117"/>
      </w:pPr>
      <w:r>
        <w:rPr>
          <w:rFonts w:hint="eastAsia"/>
        </w:rPr>
        <w:t>宜根据精神(心理)状况、认知功能、日常生活活动能力、言语功能等，提供记忆力、定向力、注意力、计算力、执行力、语言功能、视空间功能等提供康复训练服务，改善认知功能障碍老年人记忆及提高语言功能，合理分配老年人休息与活动时间；</w:t>
      </w:r>
    </w:p>
    <w:p>
      <w:pPr>
        <w:pStyle w:val="117"/>
      </w:pPr>
      <w:r>
        <w:rPr>
          <w:rFonts w:hint="eastAsia"/>
        </w:rPr>
        <w:t>评估认知功能障碍老年人生活环境中可能遇到的潜在风险，保证老年人的安全；</w:t>
      </w:r>
    </w:p>
    <w:p>
      <w:pPr>
        <w:pStyle w:val="117"/>
      </w:pPr>
      <w:r>
        <w:rPr>
          <w:rFonts w:hint="eastAsia"/>
        </w:rPr>
        <w:t>应隔离危险物品如尖锐用品、易燃易爆物品、电器，以防老年人自身或他人受到伤害；</w:t>
      </w:r>
    </w:p>
    <w:p>
      <w:pPr>
        <w:pStyle w:val="117"/>
      </w:pPr>
      <w:r>
        <w:rPr>
          <w:rFonts w:hint="eastAsia"/>
        </w:rPr>
        <w:t>禁止认知功能障碍老年人单独外出，以免走失，对中度认知功能障碍老年人还应重视情感等方面的交流；</w:t>
      </w:r>
    </w:p>
    <w:p>
      <w:pPr>
        <w:pStyle w:val="117"/>
      </w:pPr>
      <w:r>
        <w:rPr>
          <w:rFonts w:hint="eastAsia"/>
        </w:rPr>
        <w:t>根据认知功能障碍老年人咀嚼和吞咽功能情况提供适当饮食照料，引导认知功能障碍老年人自主进食，必要时喂食或管饲；</w:t>
      </w:r>
    </w:p>
    <w:p>
      <w:pPr>
        <w:pStyle w:val="117"/>
      </w:pPr>
      <w:r>
        <w:rPr>
          <w:rFonts w:hint="eastAsia"/>
        </w:rPr>
        <w:t>应定时提醒、引导认知功能障碍老年人自主如厕或协助如厕；</w:t>
      </w:r>
    </w:p>
    <w:p>
      <w:pPr>
        <w:pStyle w:val="117"/>
      </w:pPr>
      <w:r>
        <w:rPr>
          <w:rFonts w:hint="eastAsia"/>
        </w:rPr>
        <w:t>应定时提醒、引导开展个人修饰和清洁工作，必要时可示范或协助认知功能障碍老年人进行自我清洁；</w:t>
      </w:r>
    </w:p>
    <w:p>
      <w:pPr>
        <w:pStyle w:val="117"/>
      </w:pPr>
      <w:r>
        <w:rPr>
          <w:rFonts w:hint="eastAsia"/>
        </w:rPr>
        <w:t>应根据认知功能障碍老年人个人清洁修饰的需求和习惯来引导、鼓励认知功能障碍老年人做力所能及的自我修饰和清洁工作，必要时辅助或协助认知功能障碍老年人进行自我清洁；</w:t>
      </w:r>
    </w:p>
    <w:p>
      <w:pPr>
        <w:pStyle w:val="117"/>
      </w:pPr>
      <w:r>
        <w:rPr>
          <w:rFonts w:hint="eastAsia"/>
        </w:rPr>
        <w:t>对夜间出现躁动、游走等情况的认知功能障碍老年人，应做好记录并分析原因，积极采取非药物干预措施，改善睡眠质量，防止意外发生；</w:t>
      </w:r>
    </w:p>
    <w:p>
      <w:pPr>
        <w:pStyle w:val="117"/>
      </w:pPr>
      <w:r>
        <w:rPr>
          <w:rFonts w:hint="eastAsia"/>
        </w:rPr>
        <w:t>对于严重睡眠障碍者，应遵医嘱给予药物辅助；</w:t>
      </w:r>
    </w:p>
    <w:p>
      <w:pPr>
        <w:pStyle w:val="117"/>
      </w:pPr>
      <w:r>
        <w:rPr>
          <w:rFonts w:hint="eastAsia"/>
        </w:rPr>
        <w:t>协助认知障碍老年人服药，确认服药到口且口腔无药物残留，观察服药后效果及不良反应，发现问题及时处理。</w:t>
      </w:r>
    </w:p>
    <w:p>
      <w:pPr>
        <w:pStyle w:val="90"/>
        <w:spacing w:before="120" w:after="120"/>
      </w:pPr>
      <w:bookmarkStart w:id="264" w:name="_Toc182210655"/>
      <w:bookmarkStart w:id="265" w:name="_Toc164372707"/>
      <w:bookmarkStart w:id="266" w:name="_Toc178175345"/>
      <w:bookmarkStart w:id="267" w:name="_Toc178254374"/>
      <w:bookmarkStart w:id="268" w:name="_Toc182210697"/>
      <w:r>
        <w:rPr>
          <w:rFonts w:hint="eastAsia"/>
        </w:rPr>
        <w:t>九级照护（认知功能障碍照护二</w:t>
      </w:r>
      <w:r>
        <w:t>级</w:t>
      </w:r>
      <w:r>
        <w:rPr>
          <w:rFonts w:hint="eastAsia"/>
        </w:rPr>
        <w:t>）</w:t>
      </w:r>
      <w:bookmarkEnd w:id="264"/>
      <w:bookmarkEnd w:id="265"/>
      <w:bookmarkEnd w:id="266"/>
      <w:bookmarkEnd w:id="267"/>
      <w:bookmarkEnd w:id="268"/>
    </w:p>
    <w:p>
      <w:pPr>
        <w:pStyle w:val="46"/>
        <w:ind w:firstLine="420"/>
      </w:pPr>
      <w:r>
        <w:rPr>
          <w:rFonts w:hint="eastAsia"/>
        </w:rPr>
        <w:t>在提供基础照护服务之外，还应提供以下特殊服务：</w:t>
      </w:r>
    </w:p>
    <w:p>
      <w:pPr>
        <w:pStyle w:val="117"/>
      </w:pPr>
      <w:r>
        <w:rPr>
          <w:rFonts w:hint="eastAsia"/>
        </w:rPr>
        <w:t>精神行为症状干预在遵医嘱使用抗认知功能障碍药物基础上，应首选非药物干预，当非药物干预效果不佳时，宜采用药物干预与非药物干预相结合方式。干预措施如下：</w:t>
      </w:r>
    </w:p>
    <w:p>
      <w:pPr>
        <w:pStyle w:val="168"/>
      </w:pPr>
      <w:r>
        <w:rPr>
          <w:rFonts w:hint="eastAsia"/>
        </w:rPr>
        <w:t>认知功能障碍老年人出现错认、游走、进食行为改变、淡漠等精神行为症状，宜首先采取非药物干预；</w:t>
      </w:r>
    </w:p>
    <w:p>
      <w:pPr>
        <w:pStyle w:val="168"/>
      </w:pPr>
      <w:r>
        <w:rPr>
          <w:rFonts w:hint="eastAsia"/>
        </w:rPr>
        <w:t>认知功能障碍老年人出现幻觉、妄想、抑郁、焦虑、睡眠紊乱、脱抑制等精神行为症状，且非药物干预无效时，宜遵医嘱给予相应处理；</w:t>
      </w:r>
    </w:p>
    <w:p>
      <w:pPr>
        <w:pStyle w:val="168"/>
      </w:pPr>
      <w:r>
        <w:rPr>
          <w:rFonts w:hint="eastAsia"/>
        </w:rPr>
        <w:t>认知功能障碍老年人出现可能自伤、伤人、毁物和激越等紧急情况，以及对其他老年人有潜在伤害行为风险或完全不配合治疗等情形，非药物干预无效时，经评估并取得家属/监护人知情同意后，遵医嘱</w:t>
      </w:r>
      <w:r>
        <w:rPr>
          <w:rFonts w:hint="eastAsia"/>
          <w:highlight w:val="none"/>
        </w:rPr>
        <w:t>实施保护性约束，</w:t>
      </w:r>
      <w:r>
        <w:rPr>
          <w:rFonts w:hint="eastAsia"/>
        </w:rPr>
        <w:t>上述情况缓解后应及时解除保护性约束；</w:t>
      </w:r>
    </w:p>
    <w:p>
      <w:pPr>
        <w:pStyle w:val="168"/>
      </w:pPr>
      <w:r>
        <w:rPr>
          <w:rFonts w:hint="eastAsia"/>
        </w:rPr>
        <w:t>认知功能障碍老年人出现严重的可能自伤、伤人、毁物和激越等，应遵医嘱实施紧急精神药物干预。</w:t>
      </w:r>
    </w:p>
    <w:p>
      <w:pPr>
        <w:pStyle w:val="117"/>
      </w:pPr>
      <w:r>
        <w:rPr>
          <w:rFonts w:hint="eastAsia"/>
        </w:rPr>
        <w:t>认知功能障碍老年人出现精神行为症状处理无效时，应及时转介神经内科或精神科专科处理；</w:t>
      </w:r>
    </w:p>
    <w:p>
      <w:pPr>
        <w:pStyle w:val="117"/>
      </w:pPr>
      <w:r>
        <w:rPr>
          <w:rFonts w:hint="eastAsia"/>
        </w:rPr>
        <w:t>应注意压疮、肺炎、泌尿系感染等卧床并发症，对吞咽困难的认知功能障碍老年人应注意避免呛咳；</w:t>
      </w:r>
    </w:p>
    <w:p>
      <w:pPr>
        <w:pStyle w:val="117"/>
      </w:pPr>
      <w:r>
        <w:rPr>
          <w:rFonts w:hint="eastAsia"/>
        </w:rPr>
        <w:t>维持认知功能障碍老年人残留的功能，加强生活照料，减少病痛，帮助其有尊严地度过生存期。</w:t>
      </w:r>
    </w:p>
    <w:p>
      <w:pPr>
        <w:pStyle w:val="89"/>
        <w:spacing w:before="240" w:after="240"/>
      </w:pPr>
      <w:bookmarkStart w:id="269" w:name="_Toc182210698"/>
      <w:bookmarkStart w:id="270" w:name="_Toc164372708"/>
      <w:bookmarkStart w:id="271" w:name="_Toc178175346"/>
      <w:bookmarkStart w:id="272" w:name="_Toc178254375"/>
      <w:bookmarkStart w:id="273" w:name="_Toc12550"/>
      <w:bookmarkStart w:id="274" w:name="_Toc182210656"/>
      <w:r>
        <w:rPr>
          <w:rFonts w:hint="eastAsia"/>
        </w:rPr>
        <w:t>服务评价与改进</w:t>
      </w:r>
      <w:bookmarkEnd w:id="269"/>
      <w:bookmarkEnd w:id="270"/>
      <w:bookmarkEnd w:id="271"/>
      <w:bookmarkEnd w:id="272"/>
      <w:bookmarkEnd w:id="273"/>
      <w:bookmarkEnd w:id="274"/>
    </w:p>
    <w:p>
      <w:pPr>
        <w:pStyle w:val="90"/>
        <w:spacing w:before="120" w:after="120"/>
        <w:ind w:left="0"/>
      </w:pPr>
      <w:bookmarkStart w:id="275" w:name="_Toc178175347"/>
      <w:bookmarkStart w:id="276" w:name="_Toc182210657"/>
      <w:bookmarkStart w:id="277" w:name="_Toc164372709"/>
      <w:bookmarkStart w:id="278" w:name="_Toc182210699"/>
      <w:bookmarkStart w:id="279" w:name="_Toc178254376"/>
      <w:bookmarkStart w:id="280" w:name="_Toc1230"/>
      <w:r>
        <w:rPr>
          <w:rFonts w:hint="eastAsia"/>
        </w:rPr>
        <w:t>服务评价</w:t>
      </w:r>
      <w:bookmarkEnd w:id="275"/>
      <w:bookmarkEnd w:id="276"/>
      <w:bookmarkEnd w:id="277"/>
      <w:bookmarkEnd w:id="278"/>
      <w:bookmarkEnd w:id="279"/>
      <w:bookmarkEnd w:id="280"/>
    </w:p>
    <w:p>
      <w:pPr>
        <w:pStyle w:val="148"/>
        <w:ind w:left="0"/>
      </w:pPr>
      <w:r>
        <w:rPr>
          <w:rFonts w:hint="eastAsia"/>
        </w:rPr>
        <w:t>养老机构应建立分级照护服务质量评价机制，为老年人及其家属提供畅通的服务质量反馈渠道，定期收集、整理老年人或相关第三方对服务质量、服务效果的意见和建议。</w:t>
      </w:r>
    </w:p>
    <w:p>
      <w:pPr>
        <w:pStyle w:val="148"/>
        <w:ind w:left="0"/>
      </w:pPr>
      <w:r>
        <w:rPr>
          <w:rFonts w:hint="eastAsia"/>
        </w:rPr>
        <w:t>养老机构应定期对分级照护服务质量进行自评，评价内容包括但不限于：</w:t>
      </w:r>
    </w:p>
    <w:p>
      <w:pPr>
        <w:pStyle w:val="157"/>
        <w:tabs>
          <w:tab w:val="left" w:pos="1134"/>
          <w:tab w:val="clear" w:pos="851"/>
        </w:tabs>
        <w:ind w:firstLine="0"/>
      </w:pPr>
      <w:r>
        <w:rPr>
          <w:rFonts w:hint="eastAsia"/>
        </w:rPr>
        <w:t>照护服务方法的科学性；</w:t>
      </w:r>
    </w:p>
    <w:p>
      <w:pPr>
        <w:pStyle w:val="157"/>
        <w:tabs>
          <w:tab w:val="left" w:pos="1134"/>
          <w:tab w:val="clear" w:pos="851"/>
        </w:tabs>
        <w:ind w:firstLine="0"/>
      </w:pPr>
      <w:r>
        <w:rPr>
          <w:rFonts w:hint="eastAsia"/>
        </w:rPr>
        <w:t>照护服务流程的规范性；</w:t>
      </w:r>
    </w:p>
    <w:p>
      <w:pPr>
        <w:pStyle w:val="157"/>
        <w:tabs>
          <w:tab w:val="left" w:pos="1134"/>
          <w:tab w:val="clear" w:pos="851"/>
        </w:tabs>
        <w:ind w:firstLine="0"/>
      </w:pPr>
      <w:r>
        <w:rPr>
          <w:rFonts w:hint="eastAsia"/>
        </w:rPr>
        <w:t>照护服务结果的有效性；</w:t>
      </w:r>
    </w:p>
    <w:p>
      <w:pPr>
        <w:pStyle w:val="157"/>
        <w:tabs>
          <w:tab w:val="left" w:pos="1134"/>
          <w:tab w:val="clear" w:pos="851"/>
        </w:tabs>
        <w:ind w:firstLine="0"/>
      </w:pPr>
      <w:r>
        <w:rPr>
          <w:rFonts w:hint="eastAsia"/>
        </w:rPr>
        <w:t>照护服务内容与方法是否与要求一致；</w:t>
      </w:r>
    </w:p>
    <w:p>
      <w:pPr>
        <w:pStyle w:val="157"/>
        <w:tabs>
          <w:tab w:val="left" w:pos="1134"/>
          <w:tab w:val="clear" w:pos="851"/>
        </w:tabs>
        <w:ind w:firstLine="0"/>
      </w:pPr>
      <w:r>
        <w:rPr>
          <w:rFonts w:hint="eastAsia"/>
        </w:rPr>
        <w:t>照护服务流程是否严格按规范要求执行；</w:t>
      </w:r>
    </w:p>
    <w:p>
      <w:pPr>
        <w:pStyle w:val="157"/>
        <w:tabs>
          <w:tab w:val="left" w:pos="1134"/>
          <w:tab w:val="clear" w:pos="851"/>
        </w:tabs>
        <w:ind w:firstLine="0"/>
      </w:pPr>
      <w:r>
        <w:rPr>
          <w:rFonts w:hint="eastAsia"/>
        </w:rPr>
        <w:t>照护服务结果是否与预期一致。</w:t>
      </w:r>
    </w:p>
    <w:p>
      <w:pPr>
        <w:pStyle w:val="148"/>
        <w:ind w:left="0"/>
      </w:pPr>
      <w:r>
        <w:rPr>
          <w:rFonts w:hint="eastAsia"/>
        </w:rPr>
        <w:t>应按照 MZ/T 133相关要求开展老年人及其家属等满意度的测评。</w:t>
      </w:r>
    </w:p>
    <w:p>
      <w:pPr>
        <w:pStyle w:val="148"/>
        <w:ind w:left="0"/>
      </w:pPr>
      <w:r>
        <w:rPr>
          <w:rFonts w:hint="eastAsia"/>
        </w:rPr>
        <w:t>宜定期委托第三方机构开展服务质量评价，并给出服务质量分析报告。</w:t>
      </w:r>
    </w:p>
    <w:p>
      <w:pPr>
        <w:pStyle w:val="90"/>
        <w:spacing w:before="120" w:after="120"/>
        <w:ind w:left="0"/>
      </w:pPr>
      <w:bookmarkStart w:id="281" w:name="_Toc164372710"/>
      <w:bookmarkStart w:id="282" w:name="_Toc182210700"/>
      <w:bookmarkStart w:id="283" w:name="_Toc7228"/>
      <w:bookmarkStart w:id="284" w:name="_Toc182210658"/>
      <w:bookmarkStart w:id="285" w:name="_Toc178175348"/>
      <w:bookmarkStart w:id="286" w:name="_Toc178254377"/>
      <w:r>
        <w:rPr>
          <w:rFonts w:hint="eastAsia"/>
        </w:rPr>
        <w:t>服务改进</w:t>
      </w:r>
      <w:bookmarkEnd w:id="281"/>
      <w:bookmarkEnd w:id="282"/>
      <w:bookmarkEnd w:id="283"/>
      <w:bookmarkEnd w:id="284"/>
      <w:bookmarkEnd w:id="285"/>
      <w:bookmarkEnd w:id="286"/>
    </w:p>
    <w:p>
      <w:pPr>
        <w:pStyle w:val="148"/>
        <w:ind w:left="0"/>
      </w:pPr>
      <w:r>
        <w:rPr>
          <w:rFonts w:hint="eastAsia"/>
        </w:rPr>
        <w:t>应建立服务质量的监督检查制度，按期开展自检、互检、监督检查等，及时纠正不合格的服务。</w:t>
      </w:r>
    </w:p>
    <w:p>
      <w:pPr>
        <w:pStyle w:val="148"/>
        <w:ind w:left="0"/>
      </w:pPr>
      <w:r>
        <w:rPr>
          <w:rFonts w:hint="eastAsia"/>
        </w:rPr>
        <w:t>应针对所收集到的老年人及相关第三方的反馈、自评、满意度测评等结果，加强分类汇总和统计分析，查找原因。</w:t>
      </w:r>
    </w:p>
    <w:p>
      <w:pPr>
        <w:pStyle w:val="148"/>
        <w:ind w:left="0"/>
      </w:pPr>
      <w:r>
        <w:rPr>
          <w:rFonts w:hint="eastAsia"/>
        </w:rPr>
        <w:t>应分析总结不合格的原因，制定纠正和预防措施，并跟踪实施效果的有效性。</w:t>
      </w:r>
    </w:p>
    <w:p>
      <w:pPr>
        <w:pStyle w:val="148"/>
        <w:ind w:left="0"/>
      </w:pPr>
      <w:r>
        <w:rPr>
          <w:rFonts w:hint="eastAsia"/>
        </w:rPr>
        <w:t>应对评价过程中发现的问题与建议，采取改进措施，及时改进，持续不断提高服务质量。</w:t>
      </w:r>
    </w:p>
    <w:p>
      <w:pPr>
        <w:pStyle w:val="117"/>
        <w:numPr>
          <w:ilvl w:val="0"/>
          <w:numId w:val="0"/>
        </w:numPr>
      </w:pPr>
    </w:p>
    <w:bookmarkEnd w:id="26"/>
    <w:p>
      <w:pPr>
        <w:pStyle w:val="117"/>
        <w:numPr>
          <w:ilvl w:val="0"/>
          <w:numId w:val="0"/>
        </w:numPr>
        <w:ind w:left="851"/>
        <w:jc w:val="center"/>
      </w:pPr>
      <w:bookmarkStart w:id="287" w:name="BookMark8"/>
      <w:r>
        <w:rPr>
          <w:rFonts w:hint="eastAsia" w:ascii="宋体" w:hAnsi="Times New Roman" w:eastAsia="宋体" w:cs="Times New Roman"/>
          <w:sz w:val="21"/>
          <w:lang w:val="en-US" w:eastAsia="zh-CN" w:bidi="ar-SA"/>
        </w:rPr>
        <w:pict>
          <v:shape id="_x0000_i1025" o:spt="75" type="#_x0000_t75" style="height:25pt;width:117pt;" fillcolor="#FFFFFF" filled="f" o:preferrelative="t" stroked="f" coordsize="21600,21600">
            <v:path/>
            <v:fill on="f" color2="#FFFFFF" focussize="0,0"/>
            <v:stroke on="f"/>
            <v:imagedata r:id="rId13" gain="65536f" blacklevel="0f" gamma="0" o:title=""/>
            <o:lock v:ext="edit" position="f" selection="f" grouping="f" rotation="f" cropping="f" text="f" aspectratio="t"/>
            <w10:wrap type="none"/>
            <w10:anchorlock/>
          </v:shape>
        </w:pict>
      </w:r>
      <w:bookmarkEnd w:id="287"/>
    </w:p>
    <w:sectPr>
      <w:pgSz w:w="11906" w:h="16838"/>
      <w:pgMar w:top="1928" w:right="1134" w:bottom="1134" w:left="1134" w:header="1418" w:footer="1134" w:gutter="284"/>
      <w:pgNumType w:start="1"/>
      <w:cols w:space="720"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等线">
    <w:altName w:val="汉仪中宋简"/>
    <w:panose1 w:val="02010600030101010101"/>
    <w:charset w:val="86"/>
    <w:family w:val="auto"/>
    <w:pitch w:val="default"/>
    <w:sig w:usb0="00000000" w:usb1="00000000" w:usb2="00000016" w:usb3="00000000" w:csb0="0004000F" w:csb1="00000000"/>
  </w:font>
  <w:font w:name="等线 Light">
    <w:altName w:val="汉仪中宋简"/>
    <w:panose1 w:val="02010600030101010101"/>
    <w:charset w:val="86"/>
    <w:family w:val="auto"/>
    <w:pitch w:val="default"/>
    <w:sig w:usb0="00000000" w:usb1="00000000" w:usb2="00000016" w:usb3="00000000" w:csb0="0004000F"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DejaVu Math TeX Gyre">
    <w:panose1 w:val="02000503000000000000"/>
    <w:charset w:val="00"/>
    <w:family w:val="auto"/>
    <w:pitch w:val="default"/>
    <w:sig w:usb0="A10000EF" w:usb1="4201F9EE" w:usb2="02000000" w:usb3="00000000" w:csb0="60000193" w:csb1="0DD40000"/>
  </w:font>
  <w:font w:name="汉仪中宋简">
    <w:panose1 w:val="02010600000101010101"/>
    <w:charset w:val="86"/>
    <w:family w:val="auto"/>
    <w:pitch w:val="default"/>
    <w:sig w:usb0="00000001" w:usb1="080E0800" w:usb2="00000002" w:usb3="00000000" w:csb0="00040000" w:csb1="00000000"/>
  </w:font>
  <w:font w:name="Arial">
    <w:altName w:val="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pPr>
    <w:r>
      <w:fldChar w:fldCharType="begin"/>
    </w:r>
    <w:r>
      <w:instrText xml:space="preserve">PAGE   \* MERGEFORMAT</w:instrText>
    </w:r>
    <w:r>
      <w:fldChar w:fldCharType="separate"/>
    </w:r>
    <w: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1"/>
      <w:rPr>
        <w:rFonts w:hint="eastAsia"/>
      </w:rPr>
    </w:pPr>
    <w:r>
      <w:fldChar w:fldCharType="begin"/>
    </w:r>
    <w:r>
      <w:instrText xml:space="preserve"> STYLEREF  标准文件_文件编号  \* MERGEFORMAT </w:instrText>
    </w:r>
    <w:r>
      <w:fldChar w:fldCharType="separate"/>
    </w:r>
    <w:r>
      <w:t>MZ/T XXXXX—XXXX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right"/>
    </w:pPr>
    <w:r>
      <w:fldChar w:fldCharType="begin"/>
    </w:r>
    <w:r>
      <w:instrText xml:space="preserve"> STYLEREF  标准文件_文件编号  \* MERGEFORMAT </w:instrText>
    </w:r>
    <w:r>
      <w:fldChar w:fldCharType="separate"/>
    </w:r>
    <w:r>
      <w:t>MZ/T XXXXX—XXXX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5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42"/>
      <w:suff w:val="nothing"/>
      <w:lvlText w:val="%1%2.%3　"/>
      <w:lvlJc w:val="left"/>
      <w:pPr>
        <w:ind w:left="0" w:firstLine="0"/>
      </w:pPr>
    </w:lvl>
    <w:lvl w:ilvl="3" w:tentative="0">
      <w:start w:val="1"/>
      <w:numFmt w:val="decimal"/>
      <w:pStyle w:val="103"/>
      <w:suff w:val="nothing"/>
      <w:lvlText w:val="%1%2.%3.%4　"/>
      <w:lvlJc w:val="left"/>
      <w:pPr>
        <w:ind w:left="0" w:firstLine="0"/>
      </w:pPr>
    </w:lvl>
    <w:lvl w:ilvl="4" w:tentative="0">
      <w:start w:val="1"/>
      <w:numFmt w:val="decimal"/>
      <w:pStyle w:val="136"/>
      <w:suff w:val="nothing"/>
      <w:lvlText w:val="%1%2.%3.%4.%5　"/>
      <w:lvlJc w:val="left"/>
      <w:pPr>
        <w:ind w:left="0" w:firstLine="0"/>
      </w:pPr>
    </w:lvl>
    <w:lvl w:ilvl="5" w:tentative="0">
      <w:start w:val="1"/>
      <w:numFmt w:val="decimal"/>
      <w:pStyle w:val="138"/>
      <w:suff w:val="nothing"/>
      <w:lvlText w:val="%1%2.%3.%4.%5.%6　"/>
      <w:lvlJc w:val="left"/>
      <w:pPr>
        <w:ind w:left="0" w:firstLine="0"/>
      </w:pPr>
    </w:lvl>
    <w:lvl w:ilvl="6" w:tentative="0">
      <w:start w:val="1"/>
      <w:numFmt w:val="decimal"/>
      <w:pStyle w:val="14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6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77"/>
      <w:lvlText w:val="%1"/>
      <w:lvlJc w:val="left"/>
      <w:pPr>
        <w:ind w:left="425" w:hanging="425"/>
      </w:pPr>
      <w:rPr>
        <w:rFonts w:hint="eastAsia"/>
      </w:rPr>
    </w:lvl>
    <w:lvl w:ilvl="1" w:tentative="0">
      <w:start w:val="1"/>
      <w:numFmt w:val="decimal"/>
      <w:pStyle w:val="180"/>
      <w:suff w:val="nothing"/>
      <w:lvlText w:val="%10.%2 "/>
      <w:lvlJc w:val="left"/>
      <w:pPr>
        <w:ind w:left="0" w:firstLine="0"/>
      </w:pPr>
      <w:rPr>
        <w:rFonts w:hint="eastAsia" w:ascii="黑体" w:hAnsi="等线" w:eastAsia="黑体"/>
        <w:b w:val="0"/>
        <w:i w:val="0"/>
        <w:sz w:val="21"/>
      </w:rPr>
    </w:lvl>
    <w:lvl w:ilvl="2" w:tentative="0">
      <w:start w:val="1"/>
      <w:numFmt w:val="decimal"/>
      <w:pStyle w:val="181"/>
      <w:suff w:val="nothing"/>
      <w:lvlText w:val="%10.%2.%3 "/>
      <w:lvlJc w:val="left"/>
      <w:pPr>
        <w:ind w:left="0" w:firstLine="0"/>
      </w:pPr>
      <w:rPr>
        <w:rFonts w:hint="eastAsia" w:ascii="黑体" w:hAnsi="等线" w:eastAsia="黑体"/>
        <w:b w:val="0"/>
        <w:i w:val="0"/>
        <w:sz w:val="21"/>
      </w:rPr>
    </w:lvl>
    <w:lvl w:ilvl="3" w:tentative="0">
      <w:start w:val="1"/>
      <w:numFmt w:val="decimal"/>
      <w:pStyle w:val="182"/>
      <w:suff w:val="nothing"/>
      <w:lvlText w:val="%10.%2.%3.%4 "/>
      <w:lvlJc w:val="left"/>
      <w:pPr>
        <w:ind w:left="0" w:firstLine="0"/>
      </w:pPr>
      <w:rPr>
        <w:rFonts w:hint="eastAsia" w:ascii="黑体" w:hAnsi="等线" w:eastAsia="黑体"/>
        <w:b w:val="0"/>
        <w:i w:val="0"/>
        <w:sz w:val="21"/>
      </w:rPr>
    </w:lvl>
    <w:lvl w:ilvl="4" w:tentative="0">
      <w:start w:val="1"/>
      <w:numFmt w:val="decimal"/>
      <w:pStyle w:val="183"/>
      <w:suff w:val="nothing"/>
      <w:lvlText w:val="%10.%2.%3.%4.%5 "/>
      <w:lvlJc w:val="left"/>
      <w:pPr>
        <w:ind w:left="0" w:firstLine="0"/>
      </w:pPr>
      <w:rPr>
        <w:rFonts w:hint="eastAsia" w:ascii="黑体" w:hAnsi="等线" w:eastAsia="黑体"/>
        <w:b w:val="0"/>
        <w:i w:val="0"/>
        <w:sz w:val="21"/>
      </w:rPr>
    </w:lvl>
    <w:lvl w:ilvl="5" w:tentative="0">
      <w:start w:val="1"/>
      <w:numFmt w:val="decimal"/>
      <w:pStyle w:val="184"/>
      <w:suff w:val="nothing"/>
      <w:lvlText w:val="%10.%2.%3.%4.%5.%6 "/>
      <w:lvlJc w:val="left"/>
      <w:pPr>
        <w:ind w:left="0" w:firstLine="0"/>
      </w:pPr>
      <w:rPr>
        <w:rFonts w:hint="eastAsia"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6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56"/>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5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95"/>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74"/>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80"/>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17"/>
      <w:lvlText w:val="%1——"/>
      <w:lvlJc w:val="left"/>
      <w:pPr>
        <w:tabs>
          <w:tab w:val="left" w:pos="1277"/>
        </w:tabs>
        <w:ind w:left="851" w:hanging="426"/>
      </w:pPr>
      <w:rPr>
        <w:rFonts w:hint="eastAsia" w:ascii="宋体" w:hAnsi="Times New Roman" w:eastAsia="宋体"/>
        <w:b w:val="0"/>
        <w:i w:val="0"/>
        <w:sz w:val="21"/>
        <w:lang w:val="en-US"/>
      </w:rPr>
    </w:lvl>
    <w:lvl w:ilvl="1" w:tentative="0">
      <w:start w:val="1"/>
      <w:numFmt w:val="none"/>
      <w:pStyle w:val="168"/>
      <w:lvlText w:val=""/>
      <w:lvlJc w:val="left"/>
      <w:pPr>
        <w:ind w:left="1276" w:hanging="425"/>
      </w:pPr>
      <w:rPr>
        <w:rFonts w:hint="default" w:ascii="Symbol" w:hAnsi="Symbol"/>
        <w:sz w:val="21"/>
      </w:rPr>
    </w:lvl>
    <w:lvl w:ilvl="2" w:tentative="0">
      <w:start w:val="1"/>
      <w:numFmt w:val="bullet"/>
      <w:pStyle w:val="15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2" w:hanging="526"/>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87"/>
      <w:lvlText w:val="%1"/>
      <w:lvlJc w:val="left"/>
      <w:pPr>
        <w:tabs>
          <w:tab w:val="left" w:pos="539"/>
        </w:tabs>
        <w:ind w:left="539" w:hanging="119"/>
      </w:pPr>
      <w:rPr>
        <w:rFonts w:hint="eastAsia"/>
        <w:caps w:val="0"/>
        <w:strike w:val="0"/>
        <w:dstrike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57"/>
      <w:lvlText w:val="%1)"/>
      <w:lvlJc w:val="left"/>
      <w:pPr>
        <w:tabs>
          <w:tab w:val="left" w:pos="851"/>
        </w:tabs>
        <w:ind w:left="851" w:hanging="426"/>
      </w:pPr>
      <w:rPr>
        <w:rFonts w:hint="eastAsia" w:ascii="宋体" w:hAnsi="Times New Roman" w:eastAsia="宋体"/>
        <w:sz w:val="21"/>
      </w:rPr>
    </w:lvl>
    <w:lvl w:ilvl="1" w:tentative="0">
      <w:start w:val="1"/>
      <w:numFmt w:val="decimal"/>
      <w:pStyle w:val="94"/>
      <w:lvlText w:val="%2)"/>
      <w:lvlJc w:val="left"/>
      <w:pPr>
        <w:tabs>
          <w:tab w:val="left" w:pos="1276"/>
        </w:tabs>
        <w:ind w:left="1276" w:hanging="425"/>
      </w:pPr>
      <w:rPr>
        <w:rFonts w:hint="eastAsia" w:ascii="宋体" w:hAnsi="Times New Roman" w:eastAsia="宋体"/>
        <w:sz w:val="21"/>
      </w:rPr>
    </w:lvl>
    <w:lvl w:ilvl="2" w:tentative="0">
      <w:start w:val="1"/>
      <w:numFmt w:val="decimal"/>
      <w:pStyle w:val="102"/>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78"/>
      <w:lvlText w:val="%1"/>
      <w:lvlJc w:val="left"/>
      <w:pPr>
        <w:ind w:left="420" w:hanging="420"/>
      </w:pPr>
      <w:rPr>
        <w:rFonts w:hint="eastAsia"/>
      </w:rPr>
    </w:lvl>
    <w:lvl w:ilvl="1" w:tentative="0">
      <w:start w:val="1"/>
      <w:numFmt w:val="decimal"/>
      <w:pStyle w:val="72"/>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66"/>
      <w:suff w:val="nothing"/>
      <w:lvlText w:val="示例%1："/>
      <w:lvlJc w:val="left"/>
      <w:pPr>
        <w:ind w:left="-363" w:firstLine="363"/>
      </w:pPr>
      <w:rPr>
        <w:rFonts w:hint="eastAsia" w:ascii="黑体" w:eastAsia="黑体"/>
        <w:b w:val="0"/>
        <w:i w:val="0"/>
        <w:sz w:val="18"/>
      </w:rPr>
    </w:lvl>
    <w:lvl w:ilvl="1" w:tentative="0">
      <w:start w:val="1"/>
      <w:numFmt w:val="none"/>
      <w:suff w:val="space"/>
      <w:lvlText w:val=""/>
      <w:lvlJc w:val="left"/>
      <w:pPr>
        <w:ind w:left="-363" w:firstLine="0"/>
      </w:pPr>
      <w:rPr>
        <w:rFonts w:hint="eastAsia"/>
      </w:rPr>
    </w:lvl>
    <w:lvl w:ilvl="2" w:tentative="0">
      <w:start w:val="1"/>
      <w:numFmt w:val="decimal"/>
      <w:suff w:val="space"/>
      <w:lvlText w:val="2.2.%3"/>
      <w:lvlJc w:val="left"/>
      <w:pPr>
        <w:ind w:left="-363" w:firstLine="0"/>
      </w:pPr>
      <w:rPr>
        <w:rFonts w:hint="eastAsia"/>
      </w:rPr>
    </w:lvl>
    <w:lvl w:ilvl="3" w:tentative="0">
      <w:start w:val="1"/>
      <w:numFmt w:val="decimal"/>
      <w:lvlText w:val="%4."/>
      <w:lvlJc w:val="left"/>
      <w:pPr>
        <w:tabs>
          <w:tab w:val="left" w:pos="-363"/>
        </w:tabs>
        <w:ind w:left="629" w:hanging="629"/>
      </w:pPr>
      <w:rPr>
        <w:rFonts w:hint="eastAsia"/>
      </w:rPr>
    </w:lvl>
    <w:lvl w:ilvl="4" w:tentative="0">
      <w:start w:val="1"/>
      <w:numFmt w:val="lowerLetter"/>
      <w:lvlText w:val="%5)"/>
      <w:lvlJc w:val="left"/>
      <w:pPr>
        <w:tabs>
          <w:tab w:val="left" w:pos="-363"/>
        </w:tabs>
        <w:ind w:left="629" w:hanging="629"/>
      </w:pPr>
      <w:rPr>
        <w:rFonts w:hint="eastAsia"/>
      </w:rPr>
    </w:lvl>
    <w:lvl w:ilvl="5" w:tentative="0">
      <w:start w:val="1"/>
      <w:numFmt w:val="lowerRoman"/>
      <w:lvlText w:val="%6."/>
      <w:lvlJc w:val="right"/>
      <w:pPr>
        <w:tabs>
          <w:tab w:val="left" w:pos="-363"/>
        </w:tabs>
        <w:ind w:left="629" w:hanging="629"/>
      </w:pPr>
      <w:rPr>
        <w:rFonts w:hint="eastAsia"/>
      </w:rPr>
    </w:lvl>
    <w:lvl w:ilvl="6" w:tentative="0">
      <w:start w:val="1"/>
      <w:numFmt w:val="decimal"/>
      <w:lvlText w:val="%7."/>
      <w:lvlJc w:val="left"/>
      <w:pPr>
        <w:tabs>
          <w:tab w:val="left" w:pos="-363"/>
        </w:tabs>
        <w:ind w:left="629" w:hanging="629"/>
      </w:pPr>
      <w:rPr>
        <w:rFonts w:hint="eastAsia"/>
      </w:rPr>
    </w:lvl>
    <w:lvl w:ilvl="7" w:tentative="0">
      <w:start w:val="1"/>
      <w:numFmt w:val="lowerLetter"/>
      <w:lvlText w:val="%8)"/>
      <w:lvlJc w:val="left"/>
      <w:pPr>
        <w:tabs>
          <w:tab w:val="left" w:pos="-363"/>
        </w:tabs>
        <w:ind w:left="629" w:hanging="629"/>
      </w:pPr>
      <w:rPr>
        <w:rFonts w:hint="eastAsia"/>
      </w:rPr>
    </w:lvl>
    <w:lvl w:ilvl="8" w:tentative="0">
      <w:start w:val="1"/>
      <w:numFmt w:val="lowerRoman"/>
      <w:lvlText w:val="%9."/>
      <w:lvlJc w:val="right"/>
      <w:pPr>
        <w:tabs>
          <w:tab w:val="left" w:pos="-363"/>
        </w:tabs>
        <w:ind w:left="629" w:hanging="629"/>
      </w:pPr>
      <w:rPr>
        <w:rFonts w:hint="eastAsia"/>
      </w:rPr>
    </w:lvl>
  </w:abstractNum>
  <w:abstractNum w:abstractNumId="15">
    <w:nsid w:val="4E5D0534"/>
    <w:multiLevelType w:val="multilevel"/>
    <w:tmpl w:val="4E5D0534"/>
    <w:lvl w:ilvl="0" w:tentative="0">
      <w:start w:val="1"/>
      <w:numFmt w:val="decimal"/>
      <w:pStyle w:val="101"/>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81"/>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99"/>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79"/>
      <w:suff w:val="space"/>
      <w:lvlText w:val="%1"/>
      <w:lvlJc w:val="left"/>
      <w:pPr>
        <w:ind w:left="425" w:hanging="425"/>
      </w:pPr>
      <w:rPr>
        <w:rFonts w:hint="eastAsia"/>
      </w:rPr>
    </w:lvl>
    <w:lvl w:ilvl="1" w:tentative="0">
      <w:start w:val="1"/>
      <w:numFmt w:val="decimal"/>
      <w:pStyle w:val="66"/>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96"/>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5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97"/>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70"/>
      <w:lvlText w:val="──"/>
      <w:lvlJc w:val="left"/>
      <w:pPr>
        <w:ind w:left="851" w:firstLine="0"/>
      </w:pPr>
      <w:rPr>
        <w:rFonts w:hint="eastAsia" w:ascii="宋体" w:hAnsi="等线 Light" w:eastAsia="宋体"/>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65"/>
      <w:suff w:val="nothing"/>
      <w:lvlText w:val="附录%1"/>
      <w:lvlJc w:val="left"/>
      <w:pPr>
        <w:ind w:left="0" w:firstLine="0"/>
      </w:pPr>
      <w:rPr>
        <w:rFonts w:hint="eastAsia"/>
        <w:spacing w:val="100"/>
      </w:rPr>
    </w:lvl>
    <w:lvl w:ilvl="1" w:tentative="0">
      <w:start w:val="1"/>
      <w:numFmt w:val="decimal"/>
      <w:pStyle w:val="67"/>
      <w:suff w:val="nothing"/>
      <w:lvlText w:val="%1.%2　"/>
      <w:lvlJc w:val="left"/>
      <w:pPr>
        <w:ind w:left="0" w:firstLine="0"/>
      </w:pPr>
      <w:rPr>
        <w:rFonts w:hint="eastAsia" w:ascii="黑体" w:eastAsia="黑体"/>
        <w:b w:val="0"/>
        <w:i w:val="0"/>
        <w:sz w:val="21"/>
      </w:rPr>
    </w:lvl>
    <w:lvl w:ilvl="2" w:tentative="0">
      <w:start w:val="1"/>
      <w:numFmt w:val="decimal"/>
      <w:pStyle w:val="68"/>
      <w:suff w:val="nothing"/>
      <w:lvlText w:val="%1.%2.%3　"/>
      <w:lvlJc w:val="left"/>
      <w:pPr>
        <w:ind w:left="0" w:firstLine="0"/>
      </w:pPr>
      <w:rPr>
        <w:rFonts w:hint="eastAsia" w:ascii="黑体" w:eastAsia="黑体"/>
        <w:b w:val="0"/>
        <w:i w:val="0"/>
        <w:sz w:val="21"/>
      </w:rPr>
    </w:lvl>
    <w:lvl w:ilvl="3" w:tentative="0">
      <w:start w:val="1"/>
      <w:numFmt w:val="decimal"/>
      <w:pStyle w:val="70"/>
      <w:suff w:val="nothing"/>
      <w:lvlText w:val="%1.%2.%3.%4　"/>
      <w:lvlJc w:val="left"/>
      <w:pPr>
        <w:ind w:left="0" w:firstLine="0"/>
      </w:pPr>
      <w:rPr>
        <w:rFonts w:hint="eastAsia" w:ascii="黑体" w:eastAsia="黑体"/>
        <w:b w:val="0"/>
        <w:i w:val="0"/>
        <w:sz w:val="21"/>
      </w:rPr>
    </w:lvl>
    <w:lvl w:ilvl="4" w:tentative="0">
      <w:start w:val="1"/>
      <w:numFmt w:val="decimal"/>
      <w:pStyle w:val="71"/>
      <w:suff w:val="nothing"/>
      <w:lvlText w:val="%1.%2.%3.%4.%5　"/>
      <w:lvlJc w:val="left"/>
      <w:pPr>
        <w:ind w:left="0" w:firstLine="0"/>
      </w:pPr>
      <w:rPr>
        <w:rFonts w:hint="eastAsia" w:ascii="黑体" w:eastAsia="黑体"/>
        <w:b w:val="0"/>
        <w:i w:val="0"/>
        <w:sz w:val="21"/>
      </w:rPr>
    </w:lvl>
    <w:lvl w:ilvl="5" w:tentative="0">
      <w:start w:val="1"/>
      <w:numFmt w:val="decimal"/>
      <w:pStyle w:val="73"/>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6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84"/>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5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35"/>
      <w:suff w:val="nothing"/>
      <w:lvlText w:val="%1"/>
      <w:lvlJc w:val="left"/>
      <w:pPr>
        <w:ind w:left="0" w:firstLine="0"/>
      </w:pPr>
      <w:rPr>
        <w:rFonts w:hint="eastAsia"/>
      </w:rPr>
    </w:lvl>
    <w:lvl w:ilvl="1" w:tentative="0">
      <w:start w:val="1"/>
      <w:numFmt w:val="decimal"/>
      <w:pStyle w:val="89"/>
      <w:suff w:val="nothing"/>
      <w:lvlText w:val="%1%2　"/>
      <w:lvlJc w:val="left"/>
      <w:pPr>
        <w:ind w:left="0" w:firstLine="0"/>
      </w:pPr>
      <w:rPr>
        <w:rFonts w:hint="eastAsia" w:ascii="黑体" w:eastAsia="黑体"/>
        <w:b w:val="0"/>
        <w:i w:val="0"/>
        <w:sz w:val="21"/>
      </w:rPr>
    </w:lvl>
    <w:lvl w:ilvl="2" w:tentative="0">
      <w:start w:val="1"/>
      <w:numFmt w:val="decimal"/>
      <w:pStyle w:val="90"/>
      <w:suff w:val="nothing"/>
      <w:lvlText w:val="%1%2.%3　"/>
      <w:lvlJc w:val="left"/>
      <w:pPr>
        <w:ind w:left="142" w:firstLine="0"/>
      </w:pPr>
      <w:rPr>
        <w:rFonts w:hint="eastAsia" w:ascii="黑体" w:hAnsi="Times New Roman" w:eastAsia="黑体" w:cs="Times New Roman"/>
        <w:b w:val="0"/>
        <w:bCs w:val="0"/>
        <w:i w:val="0"/>
        <w:iCs w:val="0"/>
        <w:caps w:val="0"/>
        <w:smallCaps w:val="0"/>
        <w:strike w:val="0"/>
        <w:dstrike w:val="0"/>
        <w:color w:val="000000"/>
        <w:spacing w:val="0"/>
        <w:kern w:val="0"/>
        <w:position w:val="0"/>
        <w:sz w:val="21"/>
        <w:u w:val="none"/>
      </w:rPr>
    </w:lvl>
    <w:lvl w:ilvl="3" w:tentative="0">
      <w:start w:val="1"/>
      <w:numFmt w:val="decimal"/>
      <w:pStyle w:val="55"/>
      <w:suff w:val="nothing"/>
      <w:lvlText w:val="%1%2.%3.%4　"/>
      <w:lvlJc w:val="left"/>
      <w:pPr>
        <w:ind w:left="426"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pStyle w:val="88"/>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6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00"/>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2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true"/>
  <w:bordersDoNotSurroundFooter w:val="true"/>
  <w:attachedTemplate r:id="rId1"/>
  <w:trackRevisions w:val="true"/>
  <w:documentProtection w:edit="forms"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GM2NjRmNDliNGFiMjU3NzNjZDc1YTBhMjU3OTI0MmYifQ=="/>
  </w:docVars>
  <w:rsids>
    <w:rsidRoot w:val="001E2803"/>
    <w:rsid w:val="0000040A"/>
    <w:rsid w:val="00000A94"/>
    <w:rsid w:val="00001972"/>
    <w:rsid w:val="00001D9A"/>
    <w:rsid w:val="00007B3A"/>
    <w:rsid w:val="000107E0"/>
    <w:rsid w:val="00011FDE"/>
    <w:rsid w:val="00012FFD"/>
    <w:rsid w:val="00014162"/>
    <w:rsid w:val="00014340"/>
    <w:rsid w:val="00016A9C"/>
    <w:rsid w:val="00017AFC"/>
    <w:rsid w:val="00022184"/>
    <w:rsid w:val="00022762"/>
    <w:rsid w:val="000238E0"/>
    <w:rsid w:val="000249DB"/>
    <w:rsid w:val="0002595E"/>
    <w:rsid w:val="000303C3"/>
    <w:rsid w:val="000313C3"/>
    <w:rsid w:val="000331D3"/>
    <w:rsid w:val="000346A5"/>
    <w:rsid w:val="000359C3"/>
    <w:rsid w:val="00035A7D"/>
    <w:rsid w:val="000410E8"/>
    <w:rsid w:val="0004249A"/>
    <w:rsid w:val="00043282"/>
    <w:rsid w:val="00044286"/>
    <w:rsid w:val="00047F28"/>
    <w:rsid w:val="00047F8C"/>
    <w:rsid w:val="000503AA"/>
    <w:rsid w:val="000506A1"/>
    <w:rsid w:val="000515DD"/>
    <w:rsid w:val="0005265A"/>
    <w:rsid w:val="000539DD"/>
    <w:rsid w:val="00053BD3"/>
    <w:rsid w:val="000548F8"/>
    <w:rsid w:val="000556ED"/>
    <w:rsid w:val="00055FE2"/>
    <w:rsid w:val="000560EB"/>
    <w:rsid w:val="0005616F"/>
    <w:rsid w:val="00060C2E"/>
    <w:rsid w:val="00061033"/>
    <w:rsid w:val="000619E9"/>
    <w:rsid w:val="000622D4"/>
    <w:rsid w:val="0006357D"/>
    <w:rsid w:val="00066A7C"/>
    <w:rsid w:val="00067F1E"/>
    <w:rsid w:val="000709B4"/>
    <w:rsid w:val="00071CC0"/>
    <w:rsid w:val="00072241"/>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7666"/>
    <w:rsid w:val="000D0A9C"/>
    <w:rsid w:val="000D1795"/>
    <w:rsid w:val="000D2F41"/>
    <w:rsid w:val="000D329A"/>
    <w:rsid w:val="000D4B9C"/>
    <w:rsid w:val="000D4EB6"/>
    <w:rsid w:val="000D753B"/>
    <w:rsid w:val="000E4C9E"/>
    <w:rsid w:val="000E6FD7"/>
    <w:rsid w:val="000F06E1"/>
    <w:rsid w:val="000F0E3C"/>
    <w:rsid w:val="000F19D5"/>
    <w:rsid w:val="000F4AEA"/>
    <w:rsid w:val="000F67E9"/>
    <w:rsid w:val="000F7B0E"/>
    <w:rsid w:val="001002A4"/>
    <w:rsid w:val="00104926"/>
    <w:rsid w:val="0010534C"/>
    <w:rsid w:val="00107656"/>
    <w:rsid w:val="00113B1E"/>
    <w:rsid w:val="0011711C"/>
    <w:rsid w:val="00124E4F"/>
    <w:rsid w:val="001260B7"/>
    <w:rsid w:val="001265CB"/>
    <w:rsid w:val="001321C6"/>
    <w:rsid w:val="001325C4"/>
    <w:rsid w:val="00133010"/>
    <w:rsid w:val="001338EE"/>
    <w:rsid w:val="00133AAE"/>
    <w:rsid w:val="00135323"/>
    <w:rsid w:val="001356C4"/>
    <w:rsid w:val="00141114"/>
    <w:rsid w:val="00141752"/>
    <w:rsid w:val="00142969"/>
    <w:rsid w:val="001457E7"/>
    <w:rsid w:val="00145D9D"/>
    <w:rsid w:val="00146388"/>
    <w:rsid w:val="001529E5"/>
    <w:rsid w:val="00153C7E"/>
    <w:rsid w:val="00156A6E"/>
    <w:rsid w:val="00156B25"/>
    <w:rsid w:val="00156E1A"/>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90087"/>
    <w:rsid w:val="001913C4"/>
    <w:rsid w:val="0019284F"/>
    <w:rsid w:val="0019348F"/>
    <w:rsid w:val="00193A07"/>
    <w:rsid w:val="00194C95"/>
    <w:rsid w:val="00195C34"/>
    <w:rsid w:val="001A1A53"/>
    <w:rsid w:val="001A234A"/>
    <w:rsid w:val="001B06E8"/>
    <w:rsid w:val="001B193E"/>
    <w:rsid w:val="001B2B5C"/>
    <w:rsid w:val="001B71D0"/>
    <w:rsid w:val="001B71EE"/>
    <w:rsid w:val="001C04A8"/>
    <w:rsid w:val="001C20C8"/>
    <w:rsid w:val="001C2C03"/>
    <w:rsid w:val="001C42F7"/>
    <w:rsid w:val="001C49E5"/>
    <w:rsid w:val="001C680C"/>
    <w:rsid w:val="001C7FEA"/>
    <w:rsid w:val="001D0499"/>
    <w:rsid w:val="001D0BBE"/>
    <w:rsid w:val="001D0ED4"/>
    <w:rsid w:val="001D212F"/>
    <w:rsid w:val="001D29D7"/>
    <w:rsid w:val="001D2DE7"/>
    <w:rsid w:val="001D411C"/>
    <w:rsid w:val="001D7FFA"/>
    <w:rsid w:val="001E1B6A"/>
    <w:rsid w:val="001E2484"/>
    <w:rsid w:val="001E2803"/>
    <w:rsid w:val="001E3CC4"/>
    <w:rsid w:val="001E4882"/>
    <w:rsid w:val="001E6A33"/>
    <w:rsid w:val="001E73AB"/>
    <w:rsid w:val="001F092D"/>
    <w:rsid w:val="001F143A"/>
    <w:rsid w:val="001F1605"/>
    <w:rsid w:val="001F23CC"/>
    <w:rsid w:val="001F2508"/>
    <w:rsid w:val="001F4816"/>
    <w:rsid w:val="001F69B4"/>
    <w:rsid w:val="001F77C7"/>
    <w:rsid w:val="00200183"/>
    <w:rsid w:val="0020107D"/>
    <w:rsid w:val="00202AA4"/>
    <w:rsid w:val="002031F7"/>
    <w:rsid w:val="002040E6"/>
    <w:rsid w:val="0020527B"/>
    <w:rsid w:val="002059A4"/>
    <w:rsid w:val="00205F2C"/>
    <w:rsid w:val="00210B15"/>
    <w:rsid w:val="002142EA"/>
    <w:rsid w:val="002204BB"/>
    <w:rsid w:val="00221B79"/>
    <w:rsid w:val="00221C6B"/>
    <w:rsid w:val="00224596"/>
    <w:rsid w:val="002253A1"/>
    <w:rsid w:val="00225CF8"/>
    <w:rsid w:val="0022718D"/>
    <w:rsid w:val="0022794E"/>
    <w:rsid w:val="00227FBC"/>
    <w:rsid w:val="00233D64"/>
    <w:rsid w:val="00234784"/>
    <w:rsid w:val="0023482A"/>
    <w:rsid w:val="002359CB"/>
    <w:rsid w:val="002379E1"/>
    <w:rsid w:val="00241404"/>
    <w:rsid w:val="00243540"/>
    <w:rsid w:val="0024497B"/>
    <w:rsid w:val="0024515B"/>
    <w:rsid w:val="00246021"/>
    <w:rsid w:val="0024666E"/>
    <w:rsid w:val="00247F52"/>
    <w:rsid w:val="0025012D"/>
    <w:rsid w:val="00250B25"/>
    <w:rsid w:val="00250BBE"/>
    <w:rsid w:val="002515C2"/>
    <w:rsid w:val="0025194F"/>
    <w:rsid w:val="00253F69"/>
    <w:rsid w:val="0026148A"/>
    <w:rsid w:val="00262696"/>
    <w:rsid w:val="002634BC"/>
    <w:rsid w:val="002643C3"/>
    <w:rsid w:val="00264A0C"/>
    <w:rsid w:val="002654AA"/>
    <w:rsid w:val="00267EF4"/>
    <w:rsid w:val="00270CB8"/>
    <w:rsid w:val="00272B08"/>
    <w:rsid w:val="00281BB8"/>
    <w:rsid w:val="00281E9E"/>
    <w:rsid w:val="00285170"/>
    <w:rsid w:val="00285361"/>
    <w:rsid w:val="00292D6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23E3"/>
    <w:rsid w:val="002B3F48"/>
    <w:rsid w:val="002B4508"/>
    <w:rsid w:val="002B5779"/>
    <w:rsid w:val="002B7332"/>
    <w:rsid w:val="002B7F51"/>
    <w:rsid w:val="002C09E7"/>
    <w:rsid w:val="002C3912"/>
    <w:rsid w:val="002C3F07"/>
    <w:rsid w:val="002C5278"/>
    <w:rsid w:val="002C7EBB"/>
    <w:rsid w:val="002D06C1"/>
    <w:rsid w:val="002D0B0D"/>
    <w:rsid w:val="002D42B5"/>
    <w:rsid w:val="002D4F1A"/>
    <w:rsid w:val="002D6DA6"/>
    <w:rsid w:val="002D6EC6"/>
    <w:rsid w:val="002D79AC"/>
    <w:rsid w:val="002E039D"/>
    <w:rsid w:val="002E15F3"/>
    <w:rsid w:val="002E34D5"/>
    <w:rsid w:val="002E4D5A"/>
    <w:rsid w:val="002E6326"/>
    <w:rsid w:val="002F08D3"/>
    <w:rsid w:val="002F30E0"/>
    <w:rsid w:val="002F35E4"/>
    <w:rsid w:val="002F3730"/>
    <w:rsid w:val="002F38E1"/>
    <w:rsid w:val="002F7AF6"/>
    <w:rsid w:val="00300E63"/>
    <w:rsid w:val="00302F5F"/>
    <w:rsid w:val="0030441D"/>
    <w:rsid w:val="00306063"/>
    <w:rsid w:val="00313B85"/>
    <w:rsid w:val="00317988"/>
    <w:rsid w:val="003221B4"/>
    <w:rsid w:val="00322E62"/>
    <w:rsid w:val="00324EDD"/>
    <w:rsid w:val="003331E4"/>
    <w:rsid w:val="00335F1F"/>
    <w:rsid w:val="00336C64"/>
    <w:rsid w:val="00337162"/>
    <w:rsid w:val="0034194F"/>
    <w:rsid w:val="003429D1"/>
    <w:rsid w:val="00342DB8"/>
    <w:rsid w:val="00344605"/>
    <w:rsid w:val="00344666"/>
    <w:rsid w:val="003474AA"/>
    <w:rsid w:val="00350D1D"/>
    <w:rsid w:val="00351901"/>
    <w:rsid w:val="00352C83"/>
    <w:rsid w:val="00352CEC"/>
    <w:rsid w:val="003615D2"/>
    <w:rsid w:val="0036429C"/>
    <w:rsid w:val="00364A53"/>
    <w:rsid w:val="003654CB"/>
    <w:rsid w:val="00365F86"/>
    <w:rsid w:val="00365F87"/>
    <w:rsid w:val="0037024C"/>
    <w:rsid w:val="003705F4"/>
    <w:rsid w:val="00370D58"/>
    <w:rsid w:val="00371316"/>
    <w:rsid w:val="00375931"/>
    <w:rsid w:val="00376713"/>
    <w:rsid w:val="00381815"/>
    <w:rsid w:val="003819AF"/>
    <w:rsid w:val="003820E9"/>
    <w:rsid w:val="00382DE7"/>
    <w:rsid w:val="00384FFC"/>
    <w:rsid w:val="003872FC"/>
    <w:rsid w:val="00387ADC"/>
    <w:rsid w:val="00390020"/>
    <w:rsid w:val="003903D6"/>
    <w:rsid w:val="00390EE6"/>
    <w:rsid w:val="0039118F"/>
    <w:rsid w:val="003924D4"/>
    <w:rsid w:val="00392AD7"/>
    <w:rsid w:val="003938D9"/>
    <w:rsid w:val="00394376"/>
    <w:rsid w:val="003943FF"/>
    <w:rsid w:val="003974EB"/>
    <w:rsid w:val="00397CC5"/>
    <w:rsid w:val="003A1582"/>
    <w:rsid w:val="003A4077"/>
    <w:rsid w:val="003A661E"/>
    <w:rsid w:val="003B09AD"/>
    <w:rsid w:val="003B0BD9"/>
    <w:rsid w:val="003B1F18"/>
    <w:rsid w:val="003B5BF0"/>
    <w:rsid w:val="003B60BF"/>
    <w:rsid w:val="003B6BE3"/>
    <w:rsid w:val="003C010C"/>
    <w:rsid w:val="003C0A6C"/>
    <w:rsid w:val="003C2859"/>
    <w:rsid w:val="003C5A43"/>
    <w:rsid w:val="003D0519"/>
    <w:rsid w:val="003D0FF6"/>
    <w:rsid w:val="003D262C"/>
    <w:rsid w:val="003D6D61"/>
    <w:rsid w:val="003D79CE"/>
    <w:rsid w:val="003E091D"/>
    <w:rsid w:val="003E1C53"/>
    <w:rsid w:val="003E2A69"/>
    <w:rsid w:val="003E2D49"/>
    <w:rsid w:val="003E2FD4"/>
    <w:rsid w:val="003E49F6"/>
    <w:rsid w:val="003E58E0"/>
    <w:rsid w:val="003F0841"/>
    <w:rsid w:val="003F23D3"/>
    <w:rsid w:val="003F3F08"/>
    <w:rsid w:val="003F49F1"/>
    <w:rsid w:val="003F6272"/>
    <w:rsid w:val="003F72A3"/>
    <w:rsid w:val="00400E72"/>
    <w:rsid w:val="00401400"/>
    <w:rsid w:val="00404869"/>
    <w:rsid w:val="00405884"/>
    <w:rsid w:val="00407D39"/>
    <w:rsid w:val="0041477A"/>
    <w:rsid w:val="004167A3"/>
    <w:rsid w:val="00432DAA"/>
    <w:rsid w:val="00434305"/>
    <w:rsid w:val="00435DF7"/>
    <w:rsid w:val="0044083F"/>
    <w:rsid w:val="00441AE7"/>
    <w:rsid w:val="00441EC1"/>
    <w:rsid w:val="00445574"/>
    <w:rsid w:val="004467FB"/>
    <w:rsid w:val="00452D6B"/>
    <w:rsid w:val="00454484"/>
    <w:rsid w:val="0045517B"/>
    <w:rsid w:val="004563CD"/>
    <w:rsid w:val="00463B77"/>
    <w:rsid w:val="00463C7B"/>
    <w:rsid w:val="00463F02"/>
    <w:rsid w:val="004644A6"/>
    <w:rsid w:val="004659BD"/>
    <w:rsid w:val="00470775"/>
    <w:rsid w:val="004715BD"/>
    <w:rsid w:val="004746B1"/>
    <w:rsid w:val="0047583F"/>
    <w:rsid w:val="00484936"/>
    <w:rsid w:val="00485C89"/>
    <w:rsid w:val="00486BE3"/>
    <w:rsid w:val="004905E4"/>
    <w:rsid w:val="00490A89"/>
    <w:rsid w:val="00490AB4"/>
    <w:rsid w:val="004920D8"/>
    <w:rsid w:val="00492F02"/>
    <w:rsid w:val="004939AE"/>
    <w:rsid w:val="004976F6"/>
    <w:rsid w:val="004A0713"/>
    <w:rsid w:val="004A12DF"/>
    <w:rsid w:val="004A1BA8"/>
    <w:rsid w:val="004A41EB"/>
    <w:rsid w:val="004A4B57"/>
    <w:rsid w:val="004A63FA"/>
    <w:rsid w:val="004B0272"/>
    <w:rsid w:val="004B2701"/>
    <w:rsid w:val="004B2E1B"/>
    <w:rsid w:val="004B3E93"/>
    <w:rsid w:val="004B4718"/>
    <w:rsid w:val="004B67BF"/>
    <w:rsid w:val="004C1FBC"/>
    <w:rsid w:val="004C3F1D"/>
    <w:rsid w:val="004C458D"/>
    <w:rsid w:val="004C7556"/>
    <w:rsid w:val="004C7E9D"/>
    <w:rsid w:val="004C7F67"/>
    <w:rsid w:val="004D076D"/>
    <w:rsid w:val="004D0D0A"/>
    <w:rsid w:val="004D0EF1"/>
    <w:rsid w:val="004D189E"/>
    <w:rsid w:val="004D2253"/>
    <w:rsid w:val="004D4406"/>
    <w:rsid w:val="004D527A"/>
    <w:rsid w:val="004D7C42"/>
    <w:rsid w:val="004E0465"/>
    <w:rsid w:val="004E127B"/>
    <w:rsid w:val="004E1C0A"/>
    <w:rsid w:val="004E3014"/>
    <w:rsid w:val="004E30C5"/>
    <w:rsid w:val="004E4AA5"/>
    <w:rsid w:val="004E4AEE"/>
    <w:rsid w:val="004E59E3"/>
    <w:rsid w:val="004E67C0"/>
    <w:rsid w:val="004F391A"/>
    <w:rsid w:val="004F3CFB"/>
    <w:rsid w:val="004F6456"/>
    <w:rsid w:val="004F696E"/>
    <w:rsid w:val="004F6C71"/>
    <w:rsid w:val="00501139"/>
    <w:rsid w:val="00502991"/>
    <w:rsid w:val="0050363E"/>
    <w:rsid w:val="005039BC"/>
    <w:rsid w:val="005043BB"/>
    <w:rsid w:val="00504A3D"/>
    <w:rsid w:val="00505767"/>
    <w:rsid w:val="005073F0"/>
    <w:rsid w:val="00510A7B"/>
    <w:rsid w:val="00512F6E"/>
    <w:rsid w:val="00513038"/>
    <w:rsid w:val="00514174"/>
    <w:rsid w:val="00516088"/>
    <w:rsid w:val="00516B0B"/>
    <w:rsid w:val="005207F4"/>
    <w:rsid w:val="005210F1"/>
    <w:rsid w:val="005220EC"/>
    <w:rsid w:val="00523F95"/>
    <w:rsid w:val="00524D65"/>
    <w:rsid w:val="00525B16"/>
    <w:rsid w:val="00533D04"/>
    <w:rsid w:val="00534804"/>
    <w:rsid w:val="00534BDF"/>
    <w:rsid w:val="005354EA"/>
    <w:rsid w:val="00535EC4"/>
    <w:rsid w:val="00535ED9"/>
    <w:rsid w:val="0053692B"/>
    <w:rsid w:val="00541853"/>
    <w:rsid w:val="00543BDA"/>
    <w:rsid w:val="005441CC"/>
    <w:rsid w:val="005479DA"/>
    <w:rsid w:val="00547BCC"/>
    <w:rsid w:val="0055013B"/>
    <w:rsid w:val="005513F5"/>
    <w:rsid w:val="00551F6F"/>
    <w:rsid w:val="00555044"/>
    <w:rsid w:val="00556BC6"/>
    <w:rsid w:val="00561475"/>
    <w:rsid w:val="0056487B"/>
    <w:rsid w:val="00564FB9"/>
    <w:rsid w:val="00571C88"/>
    <w:rsid w:val="00573B65"/>
    <w:rsid w:val="00573D9E"/>
    <w:rsid w:val="00576092"/>
    <w:rsid w:val="005801E3"/>
    <w:rsid w:val="00581802"/>
    <w:rsid w:val="005836A8"/>
    <w:rsid w:val="0058409C"/>
    <w:rsid w:val="00584262"/>
    <w:rsid w:val="00586630"/>
    <w:rsid w:val="00587ADD"/>
    <w:rsid w:val="005931AB"/>
    <w:rsid w:val="00593544"/>
    <w:rsid w:val="00594C18"/>
    <w:rsid w:val="00596160"/>
    <w:rsid w:val="005966E2"/>
    <w:rsid w:val="00597007"/>
    <w:rsid w:val="005A0966"/>
    <w:rsid w:val="005A11B7"/>
    <w:rsid w:val="005A260B"/>
    <w:rsid w:val="005A4A1B"/>
    <w:rsid w:val="005A7830"/>
    <w:rsid w:val="005A7FCE"/>
    <w:rsid w:val="005B0F3F"/>
    <w:rsid w:val="005B4903"/>
    <w:rsid w:val="005B51CE"/>
    <w:rsid w:val="005B5885"/>
    <w:rsid w:val="005B5CD7"/>
    <w:rsid w:val="005B5D9D"/>
    <w:rsid w:val="005B6CF6"/>
    <w:rsid w:val="005B7422"/>
    <w:rsid w:val="005C29B8"/>
    <w:rsid w:val="005C5F21"/>
    <w:rsid w:val="005C7156"/>
    <w:rsid w:val="005C7D63"/>
    <w:rsid w:val="005D0C75"/>
    <w:rsid w:val="005D1E63"/>
    <w:rsid w:val="005D298A"/>
    <w:rsid w:val="005D4171"/>
    <w:rsid w:val="005D6A95"/>
    <w:rsid w:val="005D6B2C"/>
    <w:rsid w:val="005D6D9C"/>
    <w:rsid w:val="005E2335"/>
    <w:rsid w:val="005E34CA"/>
    <w:rsid w:val="005E3C18"/>
    <w:rsid w:val="005E6318"/>
    <w:rsid w:val="005E6812"/>
    <w:rsid w:val="005E7017"/>
    <w:rsid w:val="005E7829"/>
    <w:rsid w:val="005E7881"/>
    <w:rsid w:val="005E78E0"/>
    <w:rsid w:val="005F0D9C"/>
    <w:rsid w:val="005F284E"/>
    <w:rsid w:val="006015CE"/>
    <w:rsid w:val="00604784"/>
    <w:rsid w:val="00606419"/>
    <w:rsid w:val="00607D29"/>
    <w:rsid w:val="00612952"/>
    <w:rsid w:val="00614CC1"/>
    <w:rsid w:val="00615A9D"/>
    <w:rsid w:val="00617387"/>
    <w:rsid w:val="006252D8"/>
    <w:rsid w:val="006259BC"/>
    <w:rsid w:val="0062636B"/>
    <w:rsid w:val="00632182"/>
    <w:rsid w:val="00632AE0"/>
    <w:rsid w:val="00633C17"/>
    <w:rsid w:val="00636E3E"/>
    <w:rsid w:val="006379F7"/>
    <w:rsid w:val="00637E4D"/>
    <w:rsid w:val="00640620"/>
    <w:rsid w:val="00641A1F"/>
    <w:rsid w:val="0064528D"/>
    <w:rsid w:val="00645904"/>
    <w:rsid w:val="0064647B"/>
    <w:rsid w:val="00651ACB"/>
    <w:rsid w:val="00651C47"/>
    <w:rsid w:val="00652AB2"/>
    <w:rsid w:val="00654EC0"/>
    <w:rsid w:val="0065525B"/>
    <w:rsid w:val="00655D4F"/>
    <w:rsid w:val="00662020"/>
    <w:rsid w:val="006640E5"/>
    <w:rsid w:val="006646F1"/>
    <w:rsid w:val="00664929"/>
    <w:rsid w:val="00664F62"/>
    <w:rsid w:val="006655E1"/>
    <w:rsid w:val="00671625"/>
    <w:rsid w:val="00672060"/>
    <w:rsid w:val="00672BFD"/>
    <w:rsid w:val="006770F4"/>
    <w:rsid w:val="00677A84"/>
    <w:rsid w:val="0068026D"/>
    <w:rsid w:val="00680A27"/>
    <w:rsid w:val="006816A4"/>
    <w:rsid w:val="006819B8"/>
    <w:rsid w:val="006840A6"/>
    <w:rsid w:val="006849F0"/>
    <w:rsid w:val="006850CD"/>
    <w:rsid w:val="00685AAB"/>
    <w:rsid w:val="00690D4A"/>
    <w:rsid w:val="006A07AA"/>
    <w:rsid w:val="006A25E5"/>
    <w:rsid w:val="006A2B46"/>
    <w:rsid w:val="006A336D"/>
    <w:rsid w:val="006A37B9"/>
    <w:rsid w:val="006B20F4"/>
    <w:rsid w:val="006B2672"/>
    <w:rsid w:val="006B54BF"/>
    <w:rsid w:val="006B5F44"/>
    <w:rsid w:val="006B5F90"/>
    <w:rsid w:val="006B62E4"/>
    <w:rsid w:val="006B7562"/>
    <w:rsid w:val="006C1BBA"/>
    <w:rsid w:val="006C2079"/>
    <w:rsid w:val="006C317D"/>
    <w:rsid w:val="006C5A62"/>
    <w:rsid w:val="006C5D68"/>
    <w:rsid w:val="006C6976"/>
    <w:rsid w:val="006C6DD0"/>
    <w:rsid w:val="006D04EA"/>
    <w:rsid w:val="006D16C4"/>
    <w:rsid w:val="006D3E96"/>
    <w:rsid w:val="006D4515"/>
    <w:rsid w:val="006D4BB1"/>
    <w:rsid w:val="006D6593"/>
    <w:rsid w:val="006D686E"/>
    <w:rsid w:val="006D7928"/>
    <w:rsid w:val="006F03A8"/>
    <w:rsid w:val="006F126C"/>
    <w:rsid w:val="006F2ACA"/>
    <w:rsid w:val="006F2ADC"/>
    <w:rsid w:val="006F2BFE"/>
    <w:rsid w:val="006F31E9"/>
    <w:rsid w:val="006F56E5"/>
    <w:rsid w:val="006F613E"/>
    <w:rsid w:val="006F6284"/>
    <w:rsid w:val="007002C5"/>
    <w:rsid w:val="0070348B"/>
    <w:rsid w:val="00704387"/>
    <w:rsid w:val="00707669"/>
    <w:rsid w:val="00711CBA"/>
    <w:rsid w:val="00711FB5"/>
    <w:rsid w:val="00712A01"/>
    <w:rsid w:val="00714F58"/>
    <w:rsid w:val="00720A5D"/>
    <w:rsid w:val="00722FBF"/>
    <w:rsid w:val="00722FC2"/>
    <w:rsid w:val="00725949"/>
    <w:rsid w:val="00727FA2"/>
    <w:rsid w:val="007322D9"/>
    <w:rsid w:val="00732BC0"/>
    <w:rsid w:val="00732F4E"/>
    <w:rsid w:val="00734070"/>
    <w:rsid w:val="0073720F"/>
    <w:rsid w:val="00737796"/>
    <w:rsid w:val="0074165C"/>
    <w:rsid w:val="00742C35"/>
    <w:rsid w:val="007432CA"/>
    <w:rsid w:val="007439EB"/>
    <w:rsid w:val="00743CB4"/>
    <w:rsid w:val="00743F0A"/>
    <w:rsid w:val="007444E8"/>
    <w:rsid w:val="0074548E"/>
    <w:rsid w:val="00745773"/>
    <w:rsid w:val="00746800"/>
    <w:rsid w:val="00747CF0"/>
    <w:rsid w:val="007501A8"/>
    <w:rsid w:val="00750EE1"/>
    <w:rsid w:val="00751687"/>
    <w:rsid w:val="00751896"/>
    <w:rsid w:val="00752B4D"/>
    <w:rsid w:val="00755402"/>
    <w:rsid w:val="00756B26"/>
    <w:rsid w:val="00756EDF"/>
    <w:rsid w:val="00762E34"/>
    <w:rsid w:val="00765C43"/>
    <w:rsid w:val="00765EFB"/>
    <w:rsid w:val="007671CA"/>
    <w:rsid w:val="0076744F"/>
    <w:rsid w:val="00767C61"/>
    <w:rsid w:val="0077008A"/>
    <w:rsid w:val="00773C1F"/>
    <w:rsid w:val="00774DA4"/>
    <w:rsid w:val="00776599"/>
    <w:rsid w:val="0078114B"/>
    <w:rsid w:val="00781DD2"/>
    <w:rsid w:val="00783ECF"/>
    <w:rsid w:val="0078413A"/>
    <w:rsid w:val="0078738E"/>
    <w:rsid w:val="007959E8"/>
    <w:rsid w:val="00795E9C"/>
    <w:rsid w:val="007A0521"/>
    <w:rsid w:val="007A2E12"/>
    <w:rsid w:val="007A3475"/>
    <w:rsid w:val="007A41C8"/>
    <w:rsid w:val="007A54CE"/>
    <w:rsid w:val="007A6FD9"/>
    <w:rsid w:val="007A7FFA"/>
    <w:rsid w:val="007B04EB"/>
    <w:rsid w:val="007B0D4F"/>
    <w:rsid w:val="007B285A"/>
    <w:rsid w:val="007B2CD6"/>
    <w:rsid w:val="007B5A3D"/>
    <w:rsid w:val="007B5B95"/>
    <w:rsid w:val="007B68EA"/>
    <w:rsid w:val="007B7453"/>
    <w:rsid w:val="007C2D89"/>
    <w:rsid w:val="007C4593"/>
    <w:rsid w:val="007C5200"/>
    <w:rsid w:val="007C5309"/>
    <w:rsid w:val="007C6069"/>
    <w:rsid w:val="007D06C4"/>
    <w:rsid w:val="007D1352"/>
    <w:rsid w:val="007D2508"/>
    <w:rsid w:val="007D346A"/>
    <w:rsid w:val="007D6518"/>
    <w:rsid w:val="007D76BD"/>
    <w:rsid w:val="007E0BF1"/>
    <w:rsid w:val="007E0D02"/>
    <w:rsid w:val="007E258B"/>
    <w:rsid w:val="007F0ED8"/>
    <w:rsid w:val="007F0F63"/>
    <w:rsid w:val="007F3748"/>
    <w:rsid w:val="007F75CE"/>
    <w:rsid w:val="008013A4"/>
    <w:rsid w:val="008027CE"/>
    <w:rsid w:val="00802F42"/>
    <w:rsid w:val="00804383"/>
    <w:rsid w:val="00804BB7"/>
    <w:rsid w:val="00810257"/>
    <w:rsid w:val="008104F5"/>
    <w:rsid w:val="00811072"/>
    <w:rsid w:val="00811369"/>
    <w:rsid w:val="008114A7"/>
    <w:rsid w:val="00815419"/>
    <w:rsid w:val="008163C8"/>
    <w:rsid w:val="008164A1"/>
    <w:rsid w:val="00817325"/>
    <w:rsid w:val="008209E6"/>
    <w:rsid w:val="00823303"/>
    <w:rsid w:val="008233B2"/>
    <w:rsid w:val="00823A9F"/>
    <w:rsid w:val="00823C85"/>
    <w:rsid w:val="00825138"/>
    <w:rsid w:val="008269DD"/>
    <w:rsid w:val="00827383"/>
    <w:rsid w:val="00830621"/>
    <w:rsid w:val="00832175"/>
    <w:rsid w:val="0083348C"/>
    <w:rsid w:val="008373D3"/>
    <w:rsid w:val="00840617"/>
    <w:rsid w:val="00842A47"/>
    <w:rsid w:val="00843C13"/>
    <w:rsid w:val="008454F8"/>
    <w:rsid w:val="0085173A"/>
    <w:rsid w:val="00854343"/>
    <w:rsid w:val="00860297"/>
    <w:rsid w:val="008603CE"/>
    <w:rsid w:val="00860EF4"/>
    <w:rsid w:val="008620FC"/>
    <w:rsid w:val="008627A5"/>
    <w:rsid w:val="00863E05"/>
    <w:rsid w:val="0086431E"/>
    <w:rsid w:val="00865ACA"/>
    <w:rsid w:val="00865D28"/>
    <w:rsid w:val="00865F85"/>
    <w:rsid w:val="00866B99"/>
    <w:rsid w:val="00867C10"/>
    <w:rsid w:val="00870439"/>
    <w:rsid w:val="00870DA1"/>
    <w:rsid w:val="00883F93"/>
    <w:rsid w:val="00884DB3"/>
    <w:rsid w:val="00885A9D"/>
    <w:rsid w:val="008864F6"/>
    <w:rsid w:val="0089049D"/>
    <w:rsid w:val="008928C9"/>
    <w:rsid w:val="008938DC"/>
    <w:rsid w:val="00893FD1"/>
    <w:rsid w:val="00894836"/>
    <w:rsid w:val="00895172"/>
    <w:rsid w:val="00895680"/>
    <w:rsid w:val="00896DFF"/>
    <w:rsid w:val="0089712F"/>
    <w:rsid w:val="0089762C"/>
    <w:rsid w:val="008A1893"/>
    <w:rsid w:val="008A769A"/>
    <w:rsid w:val="008B0C9C"/>
    <w:rsid w:val="008B166D"/>
    <w:rsid w:val="008B17F4"/>
    <w:rsid w:val="008B3615"/>
    <w:rsid w:val="008B4AC4"/>
    <w:rsid w:val="008B50C8"/>
    <w:rsid w:val="008B5281"/>
    <w:rsid w:val="008B7E05"/>
    <w:rsid w:val="008C1797"/>
    <w:rsid w:val="008C219C"/>
    <w:rsid w:val="008C475E"/>
    <w:rsid w:val="008C4767"/>
    <w:rsid w:val="008C619A"/>
    <w:rsid w:val="008D0CE8"/>
    <w:rsid w:val="008D2D1D"/>
    <w:rsid w:val="008D453D"/>
    <w:rsid w:val="008D48E4"/>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58DC"/>
    <w:rsid w:val="008F70BD"/>
    <w:rsid w:val="008F788F"/>
    <w:rsid w:val="008F7EA2"/>
    <w:rsid w:val="00902722"/>
    <w:rsid w:val="009027BC"/>
    <w:rsid w:val="009062E6"/>
    <w:rsid w:val="00911AF6"/>
    <w:rsid w:val="00911BE5"/>
    <w:rsid w:val="00913CA9"/>
    <w:rsid w:val="009145AE"/>
    <w:rsid w:val="009146CE"/>
    <w:rsid w:val="00914CA7"/>
    <w:rsid w:val="00915C3E"/>
    <w:rsid w:val="009161A8"/>
    <w:rsid w:val="009245F5"/>
    <w:rsid w:val="009249EC"/>
    <w:rsid w:val="009273B3"/>
    <w:rsid w:val="009305B5"/>
    <w:rsid w:val="00937E25"/>
    <w:rsid w:val="00941FA3"/>
    <w:rsid w:val="009429D5"/>
    <w:rsid w:val="00942BF1"/>
    <w:rsid w:val="00945180"/>
    <w:rsid w:val="00945428"/>
    <w:rsid w:val="0094607B"/>
    <w:rsid w:val="00953604"/>
    <w:rsid w:val="0095496B"/>
    <w:rsid w:val="009610DC"/>
    <w:rsid w:val="0096138C"/>
    <w:rsid w:val="00961490"/>
    <w:rsid w:val="0096381A"/>
    <w:rsid w:val="00965E04"/>
    <w:rsid w:val="009672F4"/>
    <w:rsid w:val="009674AD"/>
    <w:rsid w:val="00970CDC"/>
    <w:rsid w:val="00977010"/>
    <w:rsid w:val="00977D02"/>
    <w:rsid w:val="009809BB"/>
    <w:rsid w:val="0098364B"/>
    <w:rsid w:val="009911AF"/>
    <w:rsid w:val="00991875"/>
    <w:rsid w:val="00991F92"/>
    <w:rsid w:val="00992985"/>
    <w:rsid w:val="00993889"/>
    <w:rsid w:val="00994782"/>
    <w:rsid w:val="0099551B"/>
    <w:rsid w:val="00997BF1"/>
    <w:rsid w:val="009A089C"/>
    <w:rsid w:val="009A118E"/>
    <w:rsid w:val="009A21CD"/>
    <w:rsid w:val="009A278C"/>
    <w:rsid w:val="009A2BC2"/>
    <w:rsid w:val="009A42C1"/>
    <w:rsid w:val="009A5429"/>
    <w:rsid w:val="009A72AD"/>
    <w:rsid w:val="009B09E0"/>
    <w:rsid w:val="009B0BC5"/>
    <w:rsid w:val="009B1247"/>
    <w:rsid w:val="009B6029"/>
    <w:rsid w:val="009B6464"/>
    <w:rsid w:val="009B6971"/>
    <w:rsid w:val="009C27F1"/>
    <w:rsid w:val="009C3152"/>
    <w:rsid w:val="009C4CFA"/>
    <w:rsid w:val="009C5070"/>
    <w:rsid w:val="009D112C"/>
    <w:rsid w:val="009D24D4"/>
    <w:rsid w:val="009D3EE7"/>
    <w:rsid w:val="009D47FA"/>
    <w:rsid w:val="009D4F22"/>
    <w:rsid w:val="009D50D2"/>
    <w:rsid w:val="009D537A"/>
    <w:rsid w:val="009D6BCA"/>
    <w:rsid w:val="009D72B9"/>
    <w:rsid w:val="009E0F62"/>
    <w:rsid w:val="009E1848"/>
    <w:rsid w:val="009E4A58"/>
    <w:rsid w:val="009E5A2D"/>
    <w:rsid w:val="009E5AB2"/>
    <w:rsid w:val="009E6219"/>
    <w:rsid w:val="009F03B3"/>
    <w:rsid w:val="00A01757"/>
    <w:rsid w:val="00A028C0"/>
    <w:rsid w:val="00A02BAE"/>
    <w:rsid w:val="00A05AA6"/>
    <w:rsid w:val="00A06A6B"/>
    <w:rsid w:val="00A07E47"/>
    <w:rsid w:val="00A10883"/>
    <w:rsid w:val="00A120E1"/>
    <w:rsid w:val="00A129D0"/>
    <w:rsid w:val="00A12C33"/>
    <w:rsid w:val="00A138BA"/>
    <w:rsid w:val="00A14C8E"/>
    <w:rsid w:val="00A153D9"/>
    <w:rsid w:val="00A15F09"/>
    <w:rsid w:val="00A169B6"/>
    <w:rsid w:val="00A20A69"/>
    <w:rsid w:val="00A20C8E"/>
    <w:rsid w:val="00A2271D"/>
    <w:rsid w:val="00A237D5"/>
    <w:rsid w:val="00A30EFC"/>
    <w:rsid w:val="00A31984"/>
    <w:rsid w:val="00A32D73"/>
    <w:rsid w:val="00A3367B"/>
    <w:rsid w:val="00A3597D"/>
    <w:rsid w:val="00A4006C"/>
    <w:rsid w:val="00A40091"/>
    <w:rsid w:val="00A4030F"/>
    <w:rsid w:val="00A41521"/>
    <w:rsid w:val="00A41B29"/>
    <w:rsid w:val="00A41C79"/>
    <w:rsid w:val="00A41CB5"/>
    <w:rsid w:val="00A42CDF"/>
    <w:rsid w:val="00A4307B"/>
    <w:rsid w:val="00A4452E"/>
    <w:rsid w:val="00A4472C"/>
    <w:rsid w:val="00A44E69"/>
    <w:rsid w:val="00A4661E"/>
    <w:rsid w:val="00A55BD6"/>
    <w:rsid w:val="00A55D50"/>
    <w:rsid w:val="00A57142"/>
    <w:rsid w:val="00A61D48"/>
    <w:rsid w:val="00A621EA"/>
    <w:rsid w:val="00A648CD"/>
    <w:rsid w:val="00A6537A"/>
    <w:rsid w:val="00A659C9"/>
    <w:rsid w:val="00A67866"/>
    <w:rsid w:val="00A70B07"/>
    <w:rsid w:val="00A723F8"/>
    <w:rsid w:val="00A74573"/>
    <w:rsid w:val="00A77CCB"/>
    <w:rsid w:val="00A81193"/>
    <w:rsid w:val="00A83D8D"/>
    <w:rsid w:val="00A83E19"/>
    <w:rsid w:val="00A8446B"/>
    <w:rsid w:val="00A8473F"/>
    <w:rsid w:val="00A84D0B"/>
    <w:rsid w:val="00A862D6"/>
    <w:rsid w:val="00A8715E"/>
    <w:rsid w:val="00A87647"/>
    <w:rsid w:val="00A877DC"/>
    <w:rsid w:val="00A9295B"/>
    <w:rsid w:val="00A9399D"/>
    <w:rsid w:val="00A93B09"/>
    <w:rsid w:val="00A952D7"/>
    <w:rsid w:val="00A963F7"/>
    <w:rsid w:val="00A96AD8"/>
    <w:rsid w:val="00AA052C"/>
    <w:rsid w:val="00AA1E45"/>
    <w:rsid w:val="00AA30E6"/>
    <w:rsid w:val="00AA4286"/>
    <w:rsid w:val="00AA4547"/>
    <w:rsid w:val="00AA456B"/>
    <w:rsid w:val="00AA57F5"/>
    <w:rsid w:val="00AA672E"/>
    <w:rsid w:val="00AA6EC9"/>
    <w:rsid w:val="00AB2AC8"/>
    <w:rsid w:val="00AB6309"/>
    <w:rsid w:val="00AB6C5F"/>
    <w:rsid w:val="00AB7129"/>
    <w:rsid w:val="00AC1A8B"/>
    <w:rsid w:val="00AC27A6"/>
    <w:rsid w:val="00AC30F7"/>
    <w:rsid w:val="00AC3A5A"/>
    <w:rsid w:val="00AC4D95"/>
    <w:rsid w:val="00AC5DF4"/>
    <w:rsid w:val="00AD013C"/>
    <w:rsid w:val="00AD0AEF"/>
    <w:rsid w:val="00AD11B7"/>
    <w:rsid w:val="00AD1A94"/>
    <w:rsid w:val="00AD1C05"/>
    <w:rsid w:val="00AD376D"/>
    <w:rsid w:val="00AD4126"/>
    <w:rsid w:val="00AD421C"/>
    <w:rsid w:val="00AD44FA"/>
    <w:rsid w:val="00AD5D89"/>
    <w:rsid w:val="00AE070A"/>
    <w:rsid w:val="00AE101C"/>
    <w:rsid w:val="00AE232F"/>
    <w:rsid w:val="00AE5EB4"/>
    <w:rsid w:val="00AF029B"/>
    <w:rsid w:val="00AF0C18"/>
    <w:rsid w:val="00AF47C5"/>
    <w:rsid w:val="00AF5398"/>
    <w:rsid w:val="00B049AF"/>
    <w:rsid w:val="00B07242"/>
    <w:rsid w:val="00B07BC3"/>
    <w:rsid w:val="00B10534"/>
    <w:rsid w:val="00B113DB"/>
    <w:rsid w:val="00B11D8A"/>
    <w:rsid w:val="00B12981"/>
    <w:rsid w:val="00B147DD"/>
    <w:rsid w:val="00B156FD"/>
    <w:rsid w:val="00B21F61"/>
    <w:rsid w:val="00B245AE"/>
    <w:rsid w:val="00B261F1"/>
    <w:rsid w:val="00B265BC"/>
    <w:rsid w:val="00B31FB1"/>
    <w:rsid w:val="00B33952"/>
    <w:rsid w:val="00B33C5E"/>
    <w:rsid w:val="00B342F4"/>
    <w:rsid w:val="00B34369"/>
    <w:rsid w:val="00B34DC2"/>
    <w:rsid w:val="00B378E5"/>
    <w:rsid w:val="00B42F2B"/>
    <w:rsid w:val="00B4346D"/>
    <w:rsid w:val="00B440F4"/>
    <w:rsid w:val="00B44432"/>
    <w:rsid w:val="00B447A5"/>
    <w:rsid w:val="00B4654C"/>
    <w:rsid w:val="00B47293"/>
    <w:rsid w:val="00B50E50"/>
    <w:rsid w:val="00B52120"/>
    <w:rsid w:val="00B54ABC"/>
    <w:rsid w:val="00B56FBE"/>
    <w:rsid w:val="00B62B58"/>
    <w:rsid w:val="00B65149"/>
    <w:rsid w:val="00B66567"/>
    <w:rsid w:val="00B66F52"/>
    <w:rsid w:val="00B66FE5"/>
    <w:rsid w:val="00B71FDF"/>
    <w:rsid w:val="00B72880"/>
    <w:rsid w:val="00B73F82"/>
    <w:rsid w:val="00B758BF"/>
    <w:rsid w:val="00B827A6"/>
    <w:rsid w:val="00B831CE"/>
    <w:rsid w:val="00B86677"/>
    <w:rsid w:val="00B87131"/>
    <w:rsid w:val="00B91B11"/>
    <w:rsid w:val="00B939B1"/>
    <w:rsid w:val="00B95BFD"/>
    <w:rsid w:val="00B96D40"/>
    <w:rsid w:val="00B97386"/>
    <w:rsid w:val="00B978DB"/>
    <w:rsid w:val="00BA263B"/>
    <w:rsid w:val="00BA42B2"/>
    <w:rsid w:val="00BA58D4"/>
    <w:rsid w:val="00BA5B9E"/>
    <w:rsid w:val="00BA7C9A"/>
    <w:rsid w:val="00BB5F8F"/>
    <w:rsid w:val="00BB657A"/>
    <w:rsid w:val="00BC1A4E"/>
    <w:rsid w:val="00BC5DC7"/>
    <w:rsid w:val="00BC6B41"/>
    <w:rsid w:val="00BC6B8B"/>
    <w:rsid w:val="00BC73D8"/>
    <w:rsid w:val="00BD3676"/>
    <w:rsid w:val="00BD52D7"/>
    <w:rsid w:val="00BD5AD2"/>
    <w:rsid w:val="00BE22F3"/>
    <w:rsid w:val="00BE5B52"/>
    <w:rsid w:val="00BE7B8D"/>
    <w:rsid w:val="00BF0993"/>
    <w:rsid w:val="00BF10A9"/>
    <w:rsid w:val="00BF1703"/>
    <w:rsid w:val="00BF231C"/>
    <w:rsid w:val="00BF2680"/>
    <w:rsid w:val="00BF51E5"/>
    <w:rsid w:val="00BF6F59"/>
    <w:rsid w:val="00BF74A6"/>
    <w:rsid w:val="00BF7718"/>
    <w:rsid w:val="00C013AD"/>
    <w:rsid w:val="00C020FB"/>
    <w:rsid w:val="00C04904"/>
    <w:rsid w:val="00C056B3"/>
    <w:rsid w:val="00C07B8B"/>
    <w:rsid w:val="00C103E5"/>
    <w:rsid w:val="00C13319"/>
    <w:rsid w:val="00C13EE9"/>
    <w:rsid w:val="00C21540"/>
    <w:rsid w:val="00C21906"/>
    <w:rsid w:val="00C21BFA"/>
    <w:rsid w:val="00C228CC"/>
    <w:rsid w:val="00C24C8D"/>
    <w:rsid w:val="00C25FE2"/>
    <w:rsid w:val="00C260F4"/>
    <w:rsid w:val="00C26B53"/>
    <w:rsid w:val="00C279B2"/>
    <w:rsid w:val="00C33E50"/>
    <w:rsid w:val="00C34C20"/>
    <w:rsid w:val="00C35A3E"/>
    <w:rsid w:val="00C42130"/>
    <w:rsid w:val="00C423A4"/>
    <w:rsid w:val="00C43558"/>
    <w:rsid w:val="00C44BF5"/>
    <w:rsid w:val="00C521D6"/>
    <w:rsid w:val="00C52FC7"/>
    <w:rsid w:val="00C54DD8"/>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4F86"/>
    <w:rsid w:val="00C86D6F"/>
    <w:rsid w:val="00C905FC"/>
    <w:rsid w:val="00C924DE"/>
    <w:rsid w:val="00C92D03"/>
    <w:rsid w:val="00C9319C"/>
    <w:rsid w:val="00C9435D"/>
    <w:rsid w:val="00C96741"/>
    <w:rsid w:val="00CA2D1B"/>
    <w:rsid w:val="00CA31AC"/>
    <w:rsid w:val="00CA662A"/>
    <w:rsid w:val="00CA7AFD"/>
    <w:rsid w:val="00CA7C3C"/>
    <w:rsid w:val="00CB0189"/>
    <w:rsid w:val="00CB0BA2"/>
    <w:rsid w:val="00CB1A42"/>
    <w:rsid w:val="00CB1B0C"/>
    <w:rsid w:val="00CB2C0B"/>
    <w:rsid w:val="00CB517D"/>
    <w:rsid w:val="00CC038D"/>
    <w:rsid w:val="00CC39FF"/>
    <w:rsid w:val="00CC3C2F"/>
    <w:rsid w:val="00CC4328"/>
    <w:rsid w:val="00CC4AC8"/>
    <w:rsid w:val="00CC5233"/>
    <w:rsid w:val="00CC5DE6"/>
    <w:rsid w:val="00CC6E4E"/>
    <w:rsid w:val="00CC6FE8"/>
    <w:rsid w:val="00CC7202"/>
    <w:rsid w:val="00CD2808"/>
    <w:rsid w:val="00CD28BF"/>
    <w:rsid w:val="00CD4092"/>
    <w:rsid w:val="00CD4A20"/>
    <w:rsid w:val="00CD50A1"/>
    <w:rsid w:val="00CD519E"/>
    <w:rsid w:val="00CD566C"/>
    <w:rsid w:val="00CD5EEF"/>
    <w:rsid w:val="00CE0C4F"/>
    <w:rsid w:val="00CE30EA"/>
    <w:rsid w:val="00CF048A"/>
    <w:rsid w:val="00CF155A"/>
    <w:rsid w:val="00CF2947"/>
    <w:rsid w:val="00CF4E76"/>
    <w:rsid w:val="00CF686F"/>
    <w:rsid w:val="00CF6E60"/>
    <w:rsid w:val="00CF7BCA"/>
    <w:rsid w:val="00D008FD"/>
    <w:rsid w:val="00D0321C"/>
    <w:rsid w:val="00D035EC"/>
    <w:rsid w:val="00D06AB1"/>
    <w:rsid w:val="00D072ED"/>
    <w:rsid w:val="00D07A16"/>
    <w:rsid w:val="00D1067E"/>
    <w:rsid w:val="00D10F50"/>
    <w:rsid w:val="00D11272"/>
    <w:rsid w:val="00D126F5"/>
    <w:rsid w:val="00D1489E"/>
    <w:rsid w:val="00D20737"/>
    <w:rsid w:val="00D21E81"/>
    <w:rsid w:val="00D223DE"/>
    <w:rsid w:val="00D25E37"/>
    <w:rsid w:val="00D2661A"/>
    <w:rsid w:val="00D27582"/>
    <w:rsid w:val="00D32719"/>
    <w:rsid w:val="00D33333"/>
    <w:rsid w:val="00D34CB7"/>
    <w:rsid w:val="00D352A2"/>
    <w:rsid w:val="00D36A7D"/>
    <w:rsid w:val="00D4162B"/>
    <w:rsid w:val="00D4514F"/>
    <w:rsid w:val="00D451E2"/>
    <w:rsid w:val="00D45E89"/>
    <w:rsid w:val="00D45E8D"/>
    <w:rsid w:val="00D466AE"/>
    <w:rsid w:val="00D4734F"/>
    <w:rsid w:val="00D51BF3"/>
    <w:rsid w:val="00D54B98"/>
    <w:rsid w:val="00D56D85"/>
    <w:rsid w:val="00D66846"/>
    <w:rsid w:val="00D675FB"/>
    <w:rsid w:val="00D71F25"/>
    <w:rsid w:val="00D73A1A"/>
    <w:rsid w:val="00D77031"/>
    <w:rsid w:val="00D81136"/>
    <w:rsid w:val="00D84941"/>
    <w:rsid w:val="00D84FA1"/>
    <w:rsid w:val="00D851F0"/>
    <w:rsid w:val="00D86DB7"/>
    <w:rsid w:val="00D9060C"/>
    <w:rsid w:val="00D926D0"/>
    <w:rsid w:val="00D93030"/>
    <w:rsid w:val="00D950E1"/>
    <w:rsid w:val="00D952A6"/>
    <w:rsid w:val="00D97F99"/>
    <w:rsid w:val="00DA1E08"/>
    <w:rsid w:val="00DA24F8"/>
    <w:rsid w:val="00DA28E8"/>
    <w:rsid w:val="00DA3891"/>
    <w:rsid w:val="00DA38D3"/>
    <w:rsid w:val="00DA3932"/>
    <w:rsid w:val="00DA3AFC"/>
    <w:rsid w:val="00DA64F8"/>
    <w:rsid w:val="00DA6C15"/>
    <w:rsid w:val="00DB38EE"/>
    <w:rsid w:val="00DB443B"/>
    <w:rsid w:val="00DB498B"/>
    <w:rsid w:val="00DB5614"/>
    <w:rsid w:val="00DB66CA"/>
    <w:rsid w:val="00DB6BCA"/>
    <w:rsid w:val="00DB7113"/>
    <w:rsid w:val="00DC0321"/>
    <w:rsid w:val="00DC08EB"/>
    <w:rsid w:val="00DC3067"/>
    <w:rsid w:val="00DC370B"/>
    <w:rsid w:val="00DC5B90"/>
    <w:rsid w:val="00DD00FF"/>
    <w:rsid w:val="00DD0619"/>
    <w:rsid w:val="00DD07FB"/>
    <w:rsid w:val="00DD0971"/>
    <w:rsid w:val="00DD25C6"/>
    <w:rsid w:val="00DD4FE5"/>
    <w:rsid w:val="00DD54B0"/>
    <w:rsid w:val="00DD57EE"/>
    <w:rsid w:val="00DD6BCC"/>
    <w:rsid w:val="00DE0A4B"/>
    <w:rsid w:val="00DE2410"/>
    <w:rsid w:val="00DE2939"/>
    <w:rsid w:val="00DE6E81"/>
    <w:rsid w:val="00DE703F"/>
    <w:rsid w:val="00DE7595"/>
    <w:rsid w:val="00DF1961"/>
    <w:rsid w:val="00DF44DE"/>
    <w:rsid w:val="00DF4A10"/>
    <w:rsid w:val="00E01138"/>
    <w:rsid w:val="00E02DFB"/>
    <w:rsid w:val="00E030F9"/>
    <w:rsid w:val="00E0311A"/>
    <w:rsid w:val="00E03138"/>
    <w:rsid w:val="00E06404"/>
    <w:rsid w:val="00E11A85"/>
    <w:rsid w:val="00E12495"/>
    <w:rsid w:val="00E15CCD"/>
    <w:rsid w:val="00E15D9E"/>
    <w:rsid w:val="00E202EF"/>
    <w:rsid w:val="00E210B5"/>
    <w:rsid w:val="00E22A01"/>
    <w:rsid w:val="00E2552F"/>
    <w:rsid w:val="00E264D0"/>
    <w:rsid w:val="00E3137A"/>
    <w:rsid w:val="00E32213"/>
    <w:rsid w:val="00E32CCF"/>
    <w:rsid w:val="00E33542"/>
    <w:rsid w:val="00E34036"/>
    <w:rsid w:val="00E34A98"/>
    <w:rsid w:val="00E35D1E"/>
    <w:rsid w:val="00E364F9"/>
    <w:rsid w:val="00E365FA"/>
    <w:rsid w:val="00E36789"/>
    <w:rsid w:val="00E41095"/>
    <w:rsid w:val="00E41442"/>
    <w:rsid w:val="00E44A83"/>
    <w:rsid w:val="00E502C1"/>
    <w:rsid w:val="00E502DD"/>
    <w:rsid w:val="00E50D3A"/>
    <w:rsid w:val="00E51387"/>
    <w:rsid w:val="00E51E68"/>
    <w:rsid w:val="00E52EFD"/>
    <w:rsid w:val="00E5408A"/>
    <w:rsid w:val="00E56800"/>
    <w:rsid w:val="00E62FF9"/>
    <w:rsid w:val="00E635D6"/>
    <w:rsid w:val="00E639BC"/>
    <w:rsid w:val="00E664CC"/>
    <w:rsid w:val="00E70388"/>
    <w:rsid w:val="00E70B15"/>
    <w:rsid w:val="00E70F92"/>
    <w:rsid w:val="00E74C54"/>
    <w:rsid w:val="00E77A03"/>
    <w:rsid w:val="00E80751"/>
    <w:rsid w:val="00E822E8"/>
    <w:rsid w:val="00E82554"/>
    <w:rsid w:val="00E82606"/>
    <w:rsid w:val="00E846C8"/>
    <w:rsid w:val="00E84957"/>
    <w:rsid w:val="00E84A55"/>
    <w:rsid w:val="00E85BFF"/>
    <w:rsid w:val="00E90391"/>
    <w:rsid w:val="00E906C2"/>
    <w:rsid w:val="00E9070B"/>
    <w:rsid w:val="00E9311F"/>
    <w:rsid w:val="00E934D1"/>
    <w:rsid w:val="00E94AF0"/>
    <w:rsid w:val="00E95D13"/>
    <w:rsid w:val="00E95DD3"/>
    <w:rsid w:val="00E969D5"/>
    <w:rsid w:val="00EA58D1"/>
    <w:rsid w:val="00EA61BC"/>
    <w:rsid w:val="00EA6265"/>
    <w:rsid w:val="00EA681A"/>
    <w:rsid w:val="00EA735B"/>
    <w:rsid w:val="00EB1E69"/>
    <w:rsid w:val="00EB2086"/>
    <w:rsid w:val="00EB5EDF"/>
    <w:rsid w:val="00EB60FE"/>
    <w:rsid w:val="00EB74DB"/>
    <w:rsid w:val="00EC4866"/>
    <w:rsid w:val="00EC49C5"/>
    <w:rsid w:val="00EC508A"/>
    <w:rsid w:val="00EC5359"/>
    <w:rsid w:val="00EC562A"/>
    <w:rsid w:val="00ED067A"/>
    <w:rsid w:val="00ED2B50"/>
    <w:rsid w:val="00EE0350"/>
    <w:rsid w:val="00EE0719"/>
    <w:rsid w:val="00EE0E80"/>
    <w:rsid w:val="00EE613F"/>
    <w:rsid w:val="00EE7295"/>
    <w:rsid w:val="00EE7869"/>
    <w:rsid w:val="00EF054A"/>
    <w:rsid w:val="00EF0ED0"/>
    <w:rsid w:val="00EF2772"/>
    <w:rsid w:val="00EF3235"/>
    <w:rsid w:val="00EF7E72"/>
    <w:rsid w:val="00F01542"/>
    <w:rsid w:val="00F0558D"/>
    <w:rsid w:val="00F06D37"/>
    <w:rsid w:val="00F07B9D"/>
    <w:rsid w:val="00F10926"/>
    <w:rsid w:val="00F11586"/>
    <w:rsid w:val="00F1183B"/>
    <w:rsid w:val="00F11C9F"/>
    <w:rsid w:val="00F12263"/>
    <w:rsid w:val="00F1409D"/>
    <w:rsid w:val="00F14214"/>
    <w:rsid w:val="00F157A9"/>
    <w:rsid w:val="00F25BB6"/>
    <w:rsid w:val="00F26B7E"/>
    <w:rsid w:val="00F27A3B"/>
    <w:rsid w:val="00F33817"/>
    <w:rsid w:val="00F3447F"/>
    <w:rsid w:val="00F37C4D"/>
    <w:rsid w:val="00F416C0"/>
    <w:rsid w:val="00F420D5"/>
    <w:rsid w:val="00F42C79"/>
    <w:rsid w:val="00F43CC3"/>
    <w:rsid w:val="00F451EA"/>
    <w:rsid w:val="00F45447"/>
    <w:rsid w:val="00F456C6"/>
    <w:rsid w:val="00F4577B"/>
    <w:rsid w:val="00F46496"/>
    <w:rsid w:val="00F474D0"/>
    <w:rsid w:val="00F50179"/>
    <w:rsid w:val="00F56511"/>
    <w:rsid w:val="00F6194E"/>
    <w:rsid w:val="00F623AC"/>
    <w:rsid w:val="00F6412A"/>
    <w:rsid w:val="00F65893"/>
    <w:rsid w:val="00F66A4A"/>
    <w:rsid w:val="00F71003"/>
    <w:rsid w:val="00F71E22"/>
    <w:rsid w:val="00F72142"/>
    <w:rsid w:val="00F72AE7"/>
    <w:rsid w:val="00F77D98"/>
    <w:rsid w:val="00F826FF"/>
    <w:rsid w:val="00F833BA"/>
    <w:rsid w:val="00F84FD0"/>
    <w:rsid w:val="00F859A8"/>
    <w:rsid w:val="00F9108B"/>
    <w:rsid w:val="00F91349"/>
    <w:rsid w:val="00F93A8A"/>
    <w:rsid w:val="00F95248"/>
    <w:rsid w:val="00F956A9"/>
    <w:rsid w:val="00F963ED"/>
    <w:rsid w:val="00F966CF"/>
    <w:rsid w:val="00F96CAE"/>
    <w:rsid w:val="00F97C99"/>
    <w:rsid w:val="00FA662D"/>
    <w:rsid w:val="00FA6730"/>
    <w:rsid w:val="00FA73B1"/>
    <w:rsid w:val="00FB0CB9"/>
    <w:rsid w:val="00FB45F1"/>
    <w:rsid w:val="00FB4A72"/>
    <w:rsid w:val="00FB54E8"/>
    <w:rsid w:val="00FB7054"/>
    <w:rsid w:val="00FC17B7"/>
    <w:rsid w:val="00FC2734"/>
    <w:rsid w:val="00FC2CB7"/>
    <w:rsid w:val="00FC4090"/>
    <w:rsid w:val="00FC55B4"/>
    <w:rsid w:val="00FC6AD2"/>
    <w:rsid w:val="00FD00E6"/>
    <w:rsid w:val="00FD09A1"/>
    <w:rsid w:val="00FD2A7C"/>
    <w:rsid w:val="00FD59EB"/>
    <w:rsid w:val="00FD7299"/>
    <w:rsid w:val="00FE1FBE"/>
    <w:rsid w:val="00FE3901"/>
    <w:rsid w:val="00FE39D3"/>
    <w:rsid w:val="00FE4BCE"/>
    <w:rsid w:val="00FE54AE"/>
    <w:rsid w:val="00FE576A"/>
    <w:rsid w:val="00FE6FA8"/>
    <w:rsid w:val="00FE7E79"/>
    <w:rsid w:val="00FF27D3"/>
    <w:rsid w:val="00FF3E7D"/>
    <w:rsid w:val="00FF5B99"/>
    <w:rsid w:val="00FF730C"/>
    <w:rsid w:val="00FF73F4"/>
    <w:rsid w:val="00FF7CE4"/>
    <w:rsid w:val="00FF7E39"/>
    <w:rsid w:val="15013AC7"/>
    <w:rsid w:val="1C9E2CDD"/>
    <w:rsid w:val="2CCC69C1"/>
    <w:rsid w:val="2FE330D2"/>
    <w:rsid w:val="315E64D9"/>
    <w:rsid w:val="323E2D9E"/>
    <w:rsid w:val="33062C68"/>
    <w:rsid w:val="368F7854"/>
    <w:rsid w:val="3E67715F"/>
    <w:rsid w:val="463A7A65"/>
    <w:rsid w:val="477F66E4"/>
    <w:rsid w:val="4B777DAA"/>
    <w:rsid w:val="5DDF53B8"/>
    <w:rsid w:val="63545D93"/>
    <w:rsid w:val="F79E7B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2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13"/>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214"/>
    <w:qFormat/>
    <w:uiPriority w:val="0"/>
    <w:pPr>
      <w:keepNext/>
      <w:keepLines/>
      <w:spacing w:before="260" w:after="260" w:line="416" w:lineRule="auto"/>
      <w:outlineLvl w:val="2"/>
    </w:pPr>
    <w:rPr>
      <w:b/>
      <w:bCs/>
      <w:sz w:val="32"/>
      <w:szCs w:val="32"/>
    </w:rPr>
  </w:style>
  <w:style w:type="paragraph" w:styleId="5">
    <w:name w:val="heading 4"/>
    <w:basedOn w:val="1"/>
    <w:next w:val="1"/>
    <w:link w:val="215"/>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216"/>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217"/>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218"/>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219"/>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220"/>
    <w:qFormat/>
    <w:uiPriority w:val="0"/>
    <w:pPr>
      <w:keepNext/>
      <w:keepLines/>
      <w:adjustRightInd/>
      <w:spacing w:before="240" w:after="64" w:line="320" w:lineRule="auto"/>
      <w:outlineLvl w:val="8"/>
    </w:pPr>
    <w:rPr>
      <w:rFonts w:ascii="Arial" w:hAnsi="Arial" w:eastAsia="黑体"/>
    </w:rPr>
  </w:style>
  <w:style w:type="character" w:default="1" w:styleId="31">
    <w:name w:val="Default Paragraph Font"/>
    <w:unhideWhenUsed/>
    <w:qFormat/>
    <w:uiPriority w:val="1"/>
  </w:style>
  <w:style w:type="table" w:default="1" w:styleId="29">
    <w:name w:val="Normal Table"/>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8"/>
    <w:unhideWhenUsed/>
    <w:qFormat/>
    <w:uiPriority w:val="99"/>
    <w:pPr>
      <w:jc w:val="left"/>
    </w:pPr>
  </w:style>
  <w:style w:type="paragraph" w:styleId="14">
    <w:name w:val="Body Text"/>
    <w:basedOn w:val="1"/>
    <w:link w:val="227"/>
    <w:qFormat/>
    <w:uiPriority w:val="0"/>
    <w:pPr>
      <w:spacing w:after="120"/>
    </w:pPr>
  </w:style>
  <w:style w:type="paragraph" w:styleId="15">
    <w:name w:val="toc 5"/>
    <w:basedOn w:val="1"/>
    <w:next w:val="1"/>
    <w:unhideWhenUsed/>
    <w:qFormat/>
    <w:uiPriority w:val="39"/>
    <w:pPr>
      <w:ind w:left="839"/>
    </w:pPr>
    <w:rPr>
      <w:rFonts w:ascii="宋体"/>
    </w:rPr>
  </w:style>
  <w:style w:type="paragraph" w:styleId="16">
    <w:name w:val="toc 3"/>
    <w:basedOn w:val="1"/>
    <w:next w:val="1"/>
    <w:unhideWhenUsed/>
    <w:qFormat/>
    <w:uiPriority w:val="39"/>
    <w:pPr>
      <w:spacing w:line="300" w:lineRule="exact"/>
      <w:ind w:left="420"/>
    </w:pPr>
    <w:rPr>
      <w:rFonts w:ascii="宋体"/>
    </w:rPr>
  </w:style>
  <w:style w:type="paragraph" w:styleId="17">
    <w:name w:val="Balloon Text"/>
    <w:basedOn w:val="1"/>
    <w:link w:val="223"/>
    <w:unhideWhenUsed/>
    <w:qFormat/>
    <w:uiPriority w:val="99"/>
    <w:rPr>
      <w:sz w:val="18"/>
      <w:szCs w:val="18"/>
    </w:rPr>
  </w:style>
  <w:style w:type="paragraph" w:styleId="18">
    <w:name w:val="footer"/>
    <w:basedOn w:val="1"/>
    <w:link w:val="222"/>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221"/>
    <w:qFormat/>
    <w:uiPriority w:val="99"/>
    <w:pPr>
      <w:tabs>
        <w:tab w:val="center" w:pos="4153"/>
        <w:tab w:val="right" w:pos="8306"/>
      </w:tabs>
      <w:adjustRightInd/>
      <w:snapToGrid w:val="0"/>
      <w:jc w:val="center"/>
    </w:pPr>
    <w:rPr>
      <w:sz w:val="18"/>
      <w:szCs w:val="18"/>
    </w:rPr>
  </w:style>
  <w:style w:type="paragraph" w:styleId="20">
    <w:name w:val="toc 1"/>
    <w:basedOn w:val="1"/>
    <w:next w:val="1"/>
    <w:unhideWhenUsed/>
    <w:qFormat/>
    <w:uiPriority w:val="39"/>
    <w:rPr>
      <w:rFonts w:ascii="宋体"/>
    </w:rPr>
  </w:style>
  <w:style w:type="paragraph" w:styleId="21">
    <w:name w:val="toc 4"/>
    <w:basedOn w:val="1"/>
    <w:next w:val="1"/>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22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unhideWhenUsed/>
    <w:qFormat/>
    <w:uiPriority w:val="39"/>
    <w:pPr>
      <w:tabs>
        <w:tab w:val="right" w:leader="dot" w:pos="9344"/>
      </w:tabs>
      <w:spacing w:line="300" w:lineRule="exact"/>
      <w:ind w:left="210"/>
    </w:pPr>
    <w:rPr>
      <w:rFonts w:ascii="宋体"/>
    </w:rPr>
  </w:style>
  <w:style w:type="paragraph" w:styleId="26">
    <w:name w:val="Normal (Web)"/>
    <w:basedOn w:val="1"/>
    <w:unhideWhenUsed/>
    <w:qFormat/>
    <w:uiPriority w:val="99"/>
    <w:pPr>
      <w:widowControl/>
      <w:adjustRightInd/>
      <w:spacing w:before="100" w:beforeAutospacing="1" w:after="100" w:afterAutospacing="1" w:line="240" w:lineRule="auto"/>
      <w:jc w:val="left"/>
    </w:pPr>
    <w:rPr>
      <w:rFonts w:ascii="宋体" w:hAnsi="宋体" w:cs="宋体"/>
      <w:kern w:val="0"/>
      <w:sz w:val="24"/>
      <w:szCs w:val="24"/>
    </w:rPr>
  </w:style>
  <w:style w:type="paragraph" w:styleId="27">
    <w:name w:val="Title"/>
    <w:basedOn w:val="1"/>
    <w:link w:val="225"/>
    <w:qFormat/>
    <w:uiPriority w:val="0"/>
    <w:pPr>
      <w:spacing w:before="240" w:after="60"/>
      <w:jc w:val="center"/>
      <w:outlineLvl w:val="0"/>
    </w:pPr>
    <w:rPr>
      <w:rFonts w:ascii="Arial" w:hAnsi="Arial" w:cs="Arial"/>
      <w:b/>
      <w:bCs/>
      <w:sz w:val="32"/>
      <w:szCs w:val="32"/>
    </w:rPr>
  </w:style>
  <w:style w:type="paragraph" w:styleId="28">
    <w:name w:val="annotation subject"/>
    <w:basedOn w:val="13"/>
    <w:next w:val="13"/>
    <w:link w:val="239"/>
    <w:unhideWhenUsed/>
    <w:qFormat/>
    <w:uiPriority w:val="99"/>
    <w:rPr>
      <w:b/>
      <w:bCs/>
    </w:rPr>
  </w:style>
  <w:style w:type="table" w:styleId="30">
    <w:name w:val="Table Grid"/>
    <w:basedOn w:val="2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qFormat/>
    <w:uiPriority w:val="22"/>
    <w:rPr>
      <w:b/>
      <w:bCs/>
    </w:rPr>
  </w:style>
  <w:style w:type="character" w:styleId="33">
    <w:name w:val="page number"/>
    <w:qFormat/>
    <w:uiPriority w:val="0"/>
    <w:rPr>
      <w:rFonts w:ascii="宋体" w:hAnsi="Times New Roman" w:eastAsia="宋体"/>
      <w:sz w:val="18"/>
    </w:rPr>
  </w:style>
  <w:style w:type="character" w:styleId="34">
    <w:name w:val="Emphasis"/>
    <w:qFormat/>
    <w:uiPriority w:val="20"/>
    <w:rPr>
      <w:i/>
      <w:iCs/>
    </w:rPr>
  </w:style>
  <w:style w:type="character" w:styleId="35">
    <w:name w:val="Hyperlink"/>
    <w:qFormat/>
    <w:uiPriority w:val="99"/>
    <w:rPr>
      <w:rFonts w:ascii="宋体" w:hAnsi="Times New Roman" w:eastAsia="宋体"/>
      <w:color w:val="auto"/>
      <w:spacing w:val="0"/>
      <w:w w:val="100"/>
      <w:position w:val="0"/>
      <w:sz w:val="21"/>
      <w:u w:val="none"/>
    </w:rPr>
  </w:style>
  <w:style w:type="character" w:styleId="36">
    <w:name w:val="annotation reference"/>
    <w:basedOn w:val="31"/>
    <w:unhideWhenUsed/>
    <w:qFormat/>
    <w:uiPriority w:val="99"/>
    <w:rPr>
      <w:sz w:val="21"/>
      <w:szCs w:val="21"/>
    </w:rPr>
  </w:style>
  <w:style w:type="character" w:styleId="37">
    <w:name w:val="footnote reference"/>
    <w:semiHidden/>
    <w:qFormat/>
    <w:uiPriority w:val="0"/>
    <w:rPr>
      <w:rFonts w:ascii="宋体" w:hAnsi="宋体" w:eastAsia="宋体" w:cs="Times New Roman"/>
      <w:spacing w:val="0"/>
      <w:sz w:val="18"/>
      <w:vertAlign w:val="superscript"/>
    </w:rPr>
  </w:style>
  <w:style w:type="paragraph" w:customStyle="1" w:styleId="38">
    <w:name w:val="Quote"/>
    <w:basedOn w:val="1"/>
    <w:next w:val="1"/>
    <w:link w:val="224"/>
    <w:qFormat/>
    <w:uiPriority w:val="29"/>
    <w:rPr>
      <w:i/>
      <w:iCs/>
      <w:color w:val="000000"/>
    </w:rPr>
  </w:style>
  <w:style w:type="paragraph" w:customStyle="1" w:styleId="3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4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4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4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43">
    <w:name w:val="标准书眉一"/>
    <w:qFormat/>
    <w:uiPriority w:val="0"/>
    <w:pPr>
      <w:jc w:val="both"/>
    </w:pPr>
    <w:rPr>
      <w:rFonts w:ascii="Times New Roman" w:hAnsi="Times New Roman" w:eastAsia="宋体" w:cs="Times New Roman"/>
      <w:lang w:val="en-US" w:eastAsia="zh-CN" w:bidi="ar-SA"/>
    </w:rPr>
  </w:style>
  <w:style w:type="paragraph" w:customStyle="1" w:styleId="44">
    <w:name w:val="标准文件_ICS"/>
    <w:basedOn w:val="1"/>
    <w:qFormat/>
    <w:uiPriority w:val="0"/>
    <w:pPr>
      <w:spacing w:line="0" w:lineRule="atLeast"/>
    </w:pPr>
    <w:rPr>
      <w:rFonts w:ascii="黑体" w:hAnsi="宋体" w:eastAsia="黑体"/>
    </w:rPr>
  </w:style>
  <w:style w:type="paragraph" w:customStyle="1" w:styleId="45">
    <w:name w:val="标准文件_标准正文"/>
    <w:basedOn w:val="1"/>
    <w:next w:val="46"/>
    <w:qFormat/>
    <w:uiPriority w:val="0"/>
    <w:pPr>
      <w:snapToGrid w:val="0"/>
      <w:ind w:firstLine="200" w:firstLineChars="200"/>
    </w:pPr>
    <w:rPr>
      <w:kern w:val="0"/>
    </w:rPr>
  </w:style>
  <w:style w:type="paragraph" w:customStyle="1" w:styleId="46">
    <w:name w:val="标准文件_段"/>
    <w:link w:val="233"/>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47">
    <w:name w:val="标准文件_版本"/>
    <w:basedOn w:val="45"/>
    <w:qFormat/>
    <w:uiPriority w:val="0"/>
    <w:pPr>
      <w:adjustRightInd/>
      <w:snapToGrid/>
      <w:ind w:firstLine="0" w:firstLineChars="0"/>
    </w:pPr>
    <w:rPr>
      <w:rFonts w:ascii="宋体" w:hAnsi="宋体"/>
      <w:kern w:val="2"/>
    </w:rPr>
  </w:style>
  <w:style w:type="paragraph" w:customStyle="1" w:styleId="48">
    <w:name w:val="标准文件_标准部门"/>
    <w:basedOn w:val="1"/>
    <w:qFormat/>
    <w:uiPriority w:val="0"/>
    <w:pPr>
      <w:jc w:val="center"/>
    </w:pPr>
    <w:rPr>
      <w:rFonts w:ascii="黑体" w:eastAsia="黑体"/>
      <w:kern w:val="0"/>
      <w:sz w:val="44"/>
    </w:rPr>
  </w:style>
  <w:style w:type="paragraph" w:customStyle="1" w:styleId="49">
    <w:name w:val="标准文件_标准代替"/>
    <w:basedOn w:val="1"/>
    <w:next w:val="1"/>
    <w:qFormat/>
    <w:uiPriority w:val="0"/>
    <w:pPr>
      <w:spacing w:line="310" w:lineRule="exact"/>
      <w:jc w:val="right"/>
    </w:pPr>
    <w:rPr>
      <w:rFonts w:ascii="宋体" w:hAnsi="宋体"/>
      <w:kern w:val="0"/>
    </w:rPr>
  </w:style>
  <w:style w:type="paragraph" w:customStyle="1" w:styleId="5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5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52">
    <w:name w:val="标准文件_页眉偶数页"/>
    <w:basedOn w:val="51"/>
    <w:next w:val="1"/>
    <w:qFormat/>
    <w:uiPriority w:val="0"/>
    <w:pPr>
      <w:jc w:val="left"/>
    </w:pPr>
  </w:style>
  <w:style w:type="paragraph" w:customStyle="1" w:styleId="5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5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55">
    <w:name w:val="标准文件_二级条标题"/>
    <w:next w:val="4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56">
    <w:name w:val="标准文件_方框数字列项"/>
    <w:basedOn w:val="46"/>
    <w:qFormat/>
    <w:uiPriority w:val="0"/>
    <w:pPr>
      <w:numPr>
        <w:ilvl w:val="0"/>
        <w:numId w:val="3"/>
      </w:numPr>
      <w:ind w:firstLine="0" w:firstLineChars="0"/>
    </w:pPr>
  </w:style>
  <w:style w:type="paragraph" w:customStyle="1" w:styleId="57">
    <w:name w:val="标准文件_封面标准编号"/>
    <w:basedOn w:val="1"/>
    <w:next w:val="49"/>
    <w:qFormat/>
    <w:uiPriority w:val="0"/>
    <w:pPr>
      <w:spacing w:line="310" w:lineRule="exact"/>
      <w:jc w:val="right"/>
    </w:pPr>
    <w:rPr>
      <w:rFonts w:ascii="黑体" w:eastAsia="黑体"/>
      <w:kern w:val="0"/>
      <w:sz w:val="28"/>
    </w:rPr>
  </w:style>
  <w:style w:type="paragraph" w:customStyle="1" w:styleId="58">
    <w:name w:val="标准文件_封面标准分类号"/>
    <w:basedOn w:val="1"/>
    <w:qFormat/>
    <w:uiPriority w:val="0"/>
    <w:rPr>
      <w:rFonts w:ascii="黑体" w:eastAsia="黑体"/>
      <w:b/>
      <w:kern w:val="0"/>
      <w:sz w:val="28"/>
    </w:rPr>
  </w:style>
  <w:style w:type="paragraph" w:customStyle="1" w:styleId="59">
    <w:name w:val="标准文件_封面标准名称"/>
    <w:basedOn w:val="1"/>
    <w:qFormat/>
    <w:uiPriority w:val="0"/>
    <w:pPr>
      <w:spacing w:line="240" w:lineRule="auto"/>
      <w:jc w:val="center"/>
    </w:pPr>
    <w:rPr>
      <w:rFonts w:ascii="黑体" w:eastAsia="黑体"/>
      <w:kern w:val="0"/>
      <w:sz w:val="52"/>
    </w:rPr>
  </w:style>
  <w:style w:type="paragraph" w:customStyle="1" w:styleId="60">
    <w:name w:val="标准文件_封面标准英文名称"/>
    <w:basedOn w:val="1"/>
    <w:qFormat/>
    <w:uiPriority w:val="0"/>
    <w:pPr>
      <w:spacing w:line="240" w:lineRule="auto"/>
      <w:jc w:val="center"/>
    </w:pPr>
    <w:rPr>
      <w:rFonts w:ascii="黑体" w:eastAsia="黑体"/>
      <w:b/>
      <w:sz w:val="28"/>
    </w:rPr>
  </w:style>
  <w:style w:type="paragraph" w:customStyle="1" w:styleId="61">
    <w:name w:val="标准文件_封面发布日期"/>
    <w:basedOn w:val="1"/>
    <w:qFormat/>
    <w:uiPriority w:val="0"/>
    <w:pPr>
      <w:spacing w:line="310" w:lineRule="exact"/>
    </w:pPr>
    <w:rPr>
      <w:rFonts w:ascii="黑体" w:eastAsia="黑体"/>
      <w:kern w:val="0"/>
      <w:sz w:val="28"/>
    </w:rPr>
  </w:style>
  <w:style w:type="paragraph" w:customStyle="1" w:styleId="62">
    <w:name w:val="标准文件_封面密级"/>
    <w:basedOn w:val="1"/>
    <w:qFormat/>
    <w:uiPriority w:val="0"/>
    <w:rPr>
      <w:rFonts w:eastAsia="黑体"/>
      <w:sz w:val="32"/>
    </w:rPr>
  </w:style>
  <w:style w:type="paragraph" w:customStyle="1" w:styleId="63">
    <w:name w:val="标准文件_封面实施日期"/>
    <w:basedOn w:val="1"/>
    <w:qFormat/>
    <w:uiPriority w:val="0"/>
    <w:pPr>
      <w:spacing w:line="310" w:lineRule="exact"/>
      <w:jc w:val="right"/>
    </w:pPr>
    <w:rPr>
      <w:rFonts w:ascii="黑体" w:eastAsia="黑体"/>
      <w:sz w:val="28"/>
    </w:rPr>
  </w:style>
  <w:style w:type="paragraph" w:customStyle="1" w:styleId="64">
    <w:name w:val="标准文件_封面抬头"/>
    <w:basedOn w:val="46"/>
    <w:qFormat/>
    <w:uiPriority w:val="0"/>
    <w:pPr>
      <w:adjustRightInd w:val="0"/>
      <w:spacing w:line="800" w:lineRule="exact"/>
      <w:ind w:firstLine="0" w:firstLineChars="0"/>
      <w:jc w:val="distribute"/>
    </w:pPr>
    <w:rPr>
      <w:rFonts w:ascii="黑体" w:eastAsia="黑体"/>
      <w:b/>
      <w:sz w:val="64"/>
    </w:rPr>
  </w:style>
  <w:style w:type="paragraph" w:customStyle="1" w:styleId="65">
    <w:name w:val="标准文件_附录标识"/>
    <w:next w:val="4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66">
    <w:name w:val="标准文件_附录表标题"/>
    <w:next w:val="4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67">
    <w:name w:val="标准文件_附录一级条标题"/>
    <w:next w:val="4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68">
    <w:name w:val="标准文件_附录二级条标题"/>
    <w:basedOn w:val="67"/>
    <w:next w:val="46"/>
    <w:qFormat/>
    <w:uiPriority w:val="0"/>
    <w:pPr>
      <w:widowControl/>
      <w:numPr>
        <w:ilvl w:val="2"/>
        <w:numId w:val="4"/>
      </w:numPr>
      <w:wordWrap w:val="0"/>
      <w:overflowPunct w:val="0"/>
      <w:autoSpaceDE w:val="0"/>
      <w:autoSpaceDN w:val="0"/>
      <w:textAlignment w:val="baseline"/>
      <w:outlineLvl w:val="3"/>
    </w:pPr>
  </w:style>
  <w:style w:type="paragraph" w:customStyle="1" w:styleId="69">
    <w:name w:val="标准文件_附录公式"/>
    <w:basedOn w:val="45"/>
    <w:next w:val="4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70">
    <w:name w:val="标准文件_附录三级条标题"/>
    <w:next w:val="4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71">
    <w:name w:val="标准文件_附录四级条标题"/>
    <w:next w:val="4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72">
    <w:name w:val="标准文件_附录图标题"/>
    <w:next w:val="4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73">
    <w:name w:val="标准文件_附录五级条标题"/>
    <w:next w:val="4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74">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paragraph" w:customStyle="1" w:styleId="75">
    <w:name w:val="标准文件_附录章标题"/>
    <w:next w:val="4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76">
    <w:name w:val="标准文件_公式后的破折号"/>
    <w:basedOn w:val="46"/>
    <w:next w:val="46"/>
    <w:qFormat/>
    <w:uiPriority w:val="0"/>
    <w:pPr>
      <w:ind w:left="488" w:leftChars="200" w:hanging="289" w:hangingChars="290"/>
    </w:pPr>
  </w:style>
  <w:style w:type="paragraph" w:customStyle="1" w:styleId="77">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78">
    <w:name w:val="标准文件_目次、标准名称标题"/>
    <w:basedOn w:val="77"/>
    <w:next w:val="46"/>
    <w:qFormat/>
    <w:uiPriority w:val="0"/>
    <w:pPr>
      <w:spacing w:line="460" w:lineRule="exact"/>
      <w:ind w:left="0" w:firstLine="0"/>
    </w:pPr>
  </w:style>
  <w:style w:type="paragraph" w:customStyle="1" w:styleId="79">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80">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81">
    <w:name w:val="标准文件_破折号列项（二级）"/>
    <w:basedOn w:val="80"/>
    <w:qFormat/>
    <w:uiPriority w:val="0"/>
    <w:pPr>
      <w:numPr>
        <w:ilvl w:val="0"/>
        <w:numId w:val="10"/>
      </w:numPr>
    </w:pPr>
  </w:style>
  <w:style w:type="paragraph" w:customStyle="1" w:styleId="82">
    <w:name w:val="标准文件_三级条标题"/>
    <w:basedOn w:val="55"/>
    <w:next w:val="46"/>
    <w:qFormat/>
    <w:uiPriority w:val="0"/>
    <w:pPr>
      <w:widowControl/>
      <w:numPr>
        <w:ilvl w:val="4"/>
        <w:numId w:val="2"/>
      </w:numPr>
      <w:outlineLvl w:val="3"/>
    </w:pPr>
  </w:style>
  <w:style w:type="paragraph" w:customStyle="1" w:styleId="83">
    <w:name w:val="标准文件_示例后续"/>
    <w:basedOn w:val="1"/>
    <w:qFormat/>
    <w:uiPriority w:val="0"/>
    <w:pPr>
      <w:adjustRightInd/>
      <w:spacing w:line="240" w:lineRule="auto"/>
      <w:ind w:firstLine="200" w:firstLineChars="200"/>
    </w:pPr>
    <w:rPr>
      <w:sz w:val="18"/>
      <w:szCs w:val="24"/>
    </w:rPr>
  </w:style>
  <w:style w:type="paragraph" w:customStyle="1" w:styleId="84">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85">
    <w:name w:val="标准文件_四级条标题"/>
    <w:next w:val="4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paragraph" w:customStyle="1" w:styleId="86">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87">
    <w:name w:val="标准文件_图表脚注"/>
    <w:basedOn w:val="1"/>
    <w:next w:val="46"/>
    <w:qFormat/>
    <w:uiPriority w:val="0"/>
    <w:pPr>
      <w:numPr>
        <w:ilvl w:val="0"/>
        <w:numId w:val="12"/>
      </w:numPr>
      <w:spacing w:line="240" w:lineRule="auto"/>
      <w:jc w:val="left"/>
    </w:pPr>
    <w:rPr>
      <w:rFonts w:ascii="宋体" w:hAnsi="宋体"/>
      <w:sz w:val="18"/>
    </w:rPr>
  </w:style>
  <w:style w:type="paragraph" w:customStyle="1" w:styleId="88">
    <w:name w:val="标准文件_五级条标题"/>
    <w:next w:val="4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89">
    <w:name w:val="标准文件_章标题"/>
    <w:next w:val="4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90">
    <w:name w:val="标准文件_一级条标题"/>
    <w:basedOn w:val="89"/>
    <w:next w:val="46"/>
    <w:qFormat/>
    <w:uiPriority w:val="0"/>
    <w:pPr>
      <w:numPr>
        <w:ilvl w:val="2"/>
        <w:numId w:val="2"/>
      </w:numPr>
      <w:spacing w:before="50" w:beforeLines="50" w:after="50" w:afterLines="50"/>
      <w:outlineLvl w:val="1"/>
    </w:pPr>
  </w:style>
  <w:style w:type="paragraph" w:customStyle="1" w:styleId="91">
    <w:name w:val="标准文件_一致程度"/>
    <w:basedOn w:val="1"/>
    <w:qFormat/>
    <w:uiPriority w:val="0"/>
    <w:pPr>
      <w:spacing w:line="440" w:lineRule="exact"/>
      <w:jc w:val="center"/>
    </w:pPr>
    <w:rPr>
      <w:sz w:val="28"/>
    </w:rPr>
  </w:style>
  <w:style w:type="paragraph" w:customStyle="1" w:styleId="92">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93">
    <w:name w:val="标准文件_英文图表脚注"/>
    <w:basedOn w:val="45"/>
    <w:qFormat/>
    <w:uiPriority w:val="0"/>
    <w:pPr>
      <w:widowControl/>
      <w:adjustRightInd/>
      <w:snapToGrid/>
      <w:spacing w:line="240" w:lineRule="auto"/>
      <w:ind w:left="79" w:hanging="79" w:hangingChars="80"/>
    </w:pPr>
    <w:rPr>
      <w:rFonts w:ascii="宋体" w:hAnsi="宋体"/>
    </w:rPr>
  </w:style>
  <w:style w:type="paragraph" w:customStyle="1" w:styleId="94">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95">
    <w:name w:val="标准文件_英文注："/>
    <w:basedOn w:val="1"/>
    <w:next w:val="4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96">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97">
    <w:name w:val="标准文件_正文表标题"/>
    <w:next w:val="4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98">
    <w:name w:val="标准文件_正文公式"/>
    <w:basedOn w:val="1"/>
    <w:next w:val="45"/>
    <w:qFormat/>
    <w:uiPriority w:val="0"/>
    <w:pPr>
      <w:tabs>
        <w:tab w:val="center" w:pos="4678"/>
        <w:tab w:val="right" w:leader="middleDot" w:pos="9356"/>
      </w:tabs>
      <w:spacing w:line="240" w:lineRule="auto"/>
    </w:pPr>
    <w:rPr>
      <w:rFonts w:ascii="宋体" w:hAnsi="宋体"/>
    </w:rPr>
  </w:style>
  <w:style w:type="paragraph" w:customStyle="1" w:styleId="99">
    <w:name w:val="标准文件_正文图标题"/>
    <w:next w:val="4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00">
    <w:name w:val="标准文件_正文英文表标题"/>
    <w:next w:val="4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01">
    <w:name w:val="标准文件_正文英文图标题"/>
    <w:next w:val="4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02">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03">
    <w:name w:val="二级无标题条"/>
    <w:basedOn w:val="1"/>
    <w:qFormat/>
    <w:uiPriority w:val="0"/>
    <w:pPr>
      <w:numPr>
        <w:ilvl w:val="3"/>
        <w:numId w:val="20"/>
      </w:numPr>
      <w:adjustRightInd/>
      <w:spacing w:line="240" w:lineRule="auto"/>
    </w:pPr>
    <w:rPr>
      <w:rFonts w:ascii="宋体" w:hAnsi="宋体"/>
      <w:szCs w:val="24"/>
    </w:rPr>
  </w:style>
  <w:style w:type="paragraph" w:customStyle="1" w:styleId="104">
    <w:name w:val="发布部门"/>
    <w:next w:val="4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05">
    <w:name w:val="发布日期"/>
    <w:qFormat/>
    <w:uiPriority w:val="0"/>
    <w:rPr>
      <w:rFonts w:ascii="Times New Roman" w:hAnsi="Times New Roman" w:eastAsia="黑体" w:cs="Times New Roman"/>
      <w:sz w:val="28"/>
      <w:lang w:val="en-US" w:eastAsia="zh-CN" w:bidi="ar-SA"/>
    </w:rPr>
  </w:style>
  <w:style w:type="paragraph" w:customStyle="1" w:styleId="106">
    <w:name w:val="封面标准代替信息"/>
    <w:basedOn w:val="1"/>
    <w:qFormat/>
    <w:uiPriority w:val="0"/>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07">
    <w:name w:val="封面标准名称"/>
    <w:qFormat/>
    <w:uiPriority w:val="0"/>
    <w:pPr>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08">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09">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10">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11">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12">
    <w:name w:val="封面正文"/>
    <w:qFormat/>
    <w:uiPriority w:val="0"/>
    <w:pPr>
      <w:jc w:val="both"/>
    </w:pPr>
    <w:rPr>
      <w:rFonts w:ascii="Times New Roman" w:hAnsi="Times New Roman" w:eastAsia="宋体" w:cs="Times New Roman"/>
      <w:lang w:val="en-US" w:eastAsia="zh-CN" w:bidi="ar-SA"/>
    </w:rPr>
  </w:style>
  <w:style w:type="paragraph" w:customStyle="1" w:styleId="113">
    <w:name w:val="附录二级无标题条"/>
    <w:basedOn w:val="1"/>
    <w:next w:val="4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14">
    <w:name w:val="附录三级无标题条"/>
    <w:basedOn w:val="113"/>
    <w:next w:val="46"/>
    <w:qFormat/>
    <w:uiPriority w:val="0"/>
    <w:pPr>
      <w:outlineLvl w:val="4"/>
    </w:pPr>
  </w:style>
  <w:style w:type="paragraph" w:customStyle="1" w:styleId="115">
    <w:name w:val="附录四级无标题条"/>
    <w:basedOn w:val="114"/>
    <w:next w:val="46"/>
    <w:qFormat/>
    <w:uiPriority w:val="0"/>
    <w:pPr>
      <w:outlineLvl w:val="5"/>
    </w:pPr>
  </w:style>
  <w:style w:type="paragraph" w:customStyle="1" w:styleId="116">
    <w:name w:val="附录图"/>
    <w:next w:val="4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17">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18">
    <w:name w:val="附录五级无标题条"/>
    <w:basedOn w:val="115"/>
    <w:next w:val="46"/>
    <w:qFormat/>
    <w:uiPriority w:val="0"/>
    <w:pPr>
      <w:outlineLvl w:val="6"/>
    </w:pPr>
  </w:style>
  <w:style w:type="paragraph" w:customStyle="1" w:styleId="119">
    <w:name w:val="附录性质"/>
    <w:basedOn w:val="1"/>
    <w:qFormat/>
    <w:uiPriority w:val="0"/>
    <w:pPr>
      <w:widowControl/>
      <w:adjustRightInd/>
      <w:jc w:val="center"/>
    </w:pPr>
    <w:rPr>
      <w:rFonts w:ascii="黑体" w:eastAsia="黑体"/>
    </w:rPr>
  </w:style>
  <w:style w:type="paragraph" w:customStyle="1" w:styleId="120">
    <w:name w:val="附录一级无标题条"/>
    <w:basedOn w:val="75"/>
    <w:next w:val="46"/>
    <w:qFormat/>
    <w:uiPriority w:val="0"/>
    <w:pPr>
      <w:autoSpaceDN w:val="0"/>
      <w:outlineLvl w:val="2"/>
    </w:pPr>
    <w:rPr>
      <w:rFonts w:ascii="宋体" w:hAnsi="宋体" w:eastAsia="宋体"/>
    </w:rPr>
  </w:style>
  <w:style w:type="paragraph" w:customStyle="1" w:styleId="12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2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23">
    <w:name w:val="列项·"/>
    <w:basedOn w:val="46"/>
    <w:qFormat/>
    <w:uiPriority w:val="0"/>
    <w:pPr>
      <w:tabs>
        <w:tab w:val="left" w:pos="840"/>
      </w:tabs>
    </w:pPr>
  </w:style>
  <w:style w:type="paragraph" w:customStyle="1" w:styleId="12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25">
    <w:name w:val="目录 21"/>
    <w:basedOn w:val="1"/>
    <w:next w:val="1"/>
    <w:semiHidden/>
    <w:qFormat/>
    <w:uiPriority w:val="0"/>
    <w:pPr>
      <w:adjustRightInd/>
      <w:spacing w:line="240" w:lineRule="auto"/>
      <w:jc w:val="left"/>
    </w:pPr>
    <w:rPr>
      <w:bCs/>
      <w:iCs/>
    </w:rPr>
  </w:style>
  <w:style w:type="paragraph" w:customStyle="1" w:styleId="126">
    <w:name w:val="目录 31"/>
    <w:basedOn w:val="1"/>
    <w:next w:val="1"/>
    <w:semiHidden/>
    <w:qFormat/>
    <w:uiPriority w:val="0"/>
    <w:pPr>
      <w:spacing w:line="240" w:lineRule="auto"/>
    </w:pPr>
    <w:rPr>
      <w:rFonts w:ascii="宋体" w:hAnsi="宋体"/>
      <w:iCs/>
    </w:rPr>
  </w:style>
  <w:style w:type="paragraph" w:customStyle="1" w:styleId="127">
    <w:name w:val="目录 41"/>
    <w:basedOn w:val="1"/>
    <w:next w:val="1"/>
    <w:semiHidden/>
    <w:qFormat/>
    <w:uiPriority w:val="0"/>
    <w:pPr>
      <w:adjustRightInd/>
      <w:spacing w:line="240" w:lineRule="auto"/>
      <w:jc w:val="left"/>
    </w:pPr>
  </w:style>
  <w:style w:type="paragraph" w:customStyle="1" w:styleId="128">
    <w:name w:val="目录 51"/>
    <w:basedOn w:val="1"/>
    <w:next w:val="1"/>
    <w:semiHidden/>
    <w:qFormat/>
    <w:uiPriority w:val="0"/>
    <w:pPr>
      <w:spacing w:line="240" w:lineRule="auto"/>
    </w:pPr>
    <w:rPr>
      <w:rFonts w:ascii="宋体" w:hAnsi="宋体"/>
    </w:rPr>
  </w:style>
  <w:style w:type="paragraph" w:customStyle="1" w:styleId="129">
    <w:name w:val="目录 61"/>
    <w:basedOn w:val="1"/>
    <w:next w:val="1"/>
    <w:semiHidden/>
    <w:qFormat/>
    <w:uiPriority w:val="0"/>
    <w:pPr>
      <w:adjustRightInd/>
      <w:spacing w:line="240" w:lineRule="auto"/>
      <w:jc w:val="left"/>
    </w:pPr>
  </w:style>
  <w:style w:type="paragraph" w:customStyle="1" w:styleId="130">
    <w:name w:val="目录 71"/>
    <w:basedOn w:val="129"/>
    <w:semiHidden/>
    <w:qFormat/>
    <w:uiPriority w:val="0"/>
    <w:pPr>
      <w:ind w:left="1260"/>
    </w:pPr>
  </w:style>
  <w:style w:type="paragraph" w:customStyle="1" w:styleId="131">
    <w:name w:val="目录 81"/>
    <w:basedOn w:val="130"/>
    <w:semiHidden/>
    <w:qFormat/>
    <w:uiPriority w:val="0"/>
    <w:pPr>
      <w:ind w:left="1470"/>
    </w:pPr>
  </w:style>
  <w:style w:type="paragraph" w:customStyle="1" w:styleId="132">
    <w:name w:val="目录 91"/>
    <w:basedOn w:val="131"/>
    <w:semiHidden/>
    <w:qFormat/>
    <w:uiPriority w:val="0"/>
    <w:pPr>
      <w:ind w:left="1680"/>
    </w:pPr>
  </w:style>
  <w:style w:type="paragraph" w:customStyle="1" w:styleId="13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34">
    <w:name w:val="其他发布部门"/>
    <w:basedOn w:val="104"/>
    <w:qFormat/>
    <w:uiPriority w:val="0"/>
    <w:pPr>
      <w:spacing w:line="0" w:lineRule="atLeast"/>
    </w:pPr>
    <w:rPr>
      <w:rFonts w:ascii="黑体" w:eastAsia="黑体"/>
      <w:b w:val="0"/>
    </w:rPr>
  </w:style>
  <w:style w:type="paragraph" w:customStyle="1" w:styleId="13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36">
    <w:name w:val="三级无标题条"/>
    <w:basedOn w:val="1"/>
    <w:qFormat/>
    <w:uiPriority w:val="0"/>
    <w:pPr>
      <w:numPr>
        <w:ilvl w:val="4"/>
        <w:numId w:val="20"/>
      </w:numPr>
      <w:adjustRightInd/>
      <w:spacing w:line="240" w:lineRule="auto"/>
    </w:pPr>
    <w:rPr>
      <w:rFonts w:ascii="宋体" w:hAnsi="宋体"/>
      <w:szCs w:val="24"/>
    </w:rPr>
  </w:style>
  <w:style w:type="paragraph" w:customStyle="1" w:styleId="137">
    <w:name w:val="实施日期"/>
    <w:basedOn w:val="105"/>
    <w:qFormat/>
    <w:uiPriority w:val="0"/>
    <w:pPr>
      <w:framePr w:wrap="around" w:vAnchor="margin" w:hAnchor="text" w:xAlign="right" w:y="1"/>
      <w:jc w:val="right"/>
    </w:pPr>
  </w:style>
  <w:style w:type="paragraph" w:customStyle="1" w:styleId="13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39">
    <w:name w:val="文献分类号"/>
    <w:qFormat/>
    <w:uiPriority w:val="0"/>
    <w:pPr>
      <w:widowControl w:val="0"/>
      <w:textAlignment w:val="center"/>
    </w:pPr>
    <w:rPr>
      <w:rFonts w:ascii="Times New Roman" w:hAnsi="Times New Roman" w:eastAsia="黑体" w:cs="Times New Roman"/>
      <w:sz w:val="21"/>
      <w:lang w:val="en-US" w:eastAsia="zh-CN" w:bidi="ar-SA"/>
    </w:rPr>
  </w:style>
  <w:style w:type="paragraph" w:customStyle="1" w:styleId="140">
    <w:name w:val="无标题条"/>
    <w:next w:val="46"/>
    <w:qFormat/>
    <w:uiPriority w:val="0"/>
    <w:pPr>
      <w:jc w:val="both"/>
    </w:pPr>
    <w:rPr>
      <w:rFonts w:ascii="宋体" w:hAnsi="宋体" w:eastAsia="宋体" w:cs="Times New Roman"/>
      <w:sz w:val="21"/>
      <w:lang w:val="en-US" w:eastAsia="zh-CN" w:bidi="ar-SA"/>
    </w:rPr>
  </w:style>
  <w:style w:type="paragraph" w:customStyle="1" w:styleId="141">
    <w:name w:val="五级无标题条"/>
    <w:basedOn w:val="1"/>
    <w:qFormat/>
    <w:uiPriority w:val="0"/>
    <w:pPr>
      <w:numPr>
        <w:ilvl w:val="6"/>
        <w:numId w:val="20"/>
      </w:numPr>
      <w:adjustRightInd/>
    </w:pPr>
    <w:rPr>
      <w:szCs w:val="24"/>
    </w:rPr>
  </w:style>
  <w:style w:type="paragraph" w:customStyle="1" w:styleId="14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43">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44">
    <w:name w:val="注×:后续"/>
    <w:basedOn w:val="143"/>
    <w:qFormat/>
    <w:uiPriority w:val="0"/>
    <w:pPr>
      <w:ind w:left="1406" w:leftChars="0" w:hanging="499" w:firstLineChars="0"/>
    </w:pPr>
  </w:style>
  <w:style w:type="paragraph" w:customStyle="1" w:styleId="145">
    <w:name w:val="标准文件_一级无标题"/>
    <w:basedOn w:val="90"/>
    <w:qFormat/>
    <w:uiPriority w:val="0"/>
    <w:pPr>
      <w:spacing w:before="0" w:beforeLines="0" w:after="0" w:afterLines="0"/>
      <w:outlineLvl w:val="9"/>
    </w:pPr>
    <w:rPr>
      <w:rFonts w:ascii="宋体" w:eastAsia="宋体"/>
    </w:rPr>
  </w:style>
  <w:style w:type="paragraph" w:customStyle="1" w:styleId="146">
    <w:name w:val="标准文件_五级无标题"/>
    <w:basedOn w:val="88"/>
    <w:qFormat/>
    <w:uiPriority w:val="0"/>
    <w:pPr>
      <w:spacing w:before="0" w:beforeLines="0" w:after="0" w:afterLines="0"/>
      <w:outlineLvl w:val="9"/>
    </w:pPr>
    <w:rPr>
      <w:rFonts w:ascii="宋体" w:eastAsia="宋体"/>
    </w:rPr>
  </w:style>
  <w:style w:type="paragraph" w:customStyle="1" w:styleId="147">
    <w:name w:val="标准文件_三级无标题"/>
    <w:basedOn w:val="82"/>
    <w:qFormat/>
    <w:uiPriority w:val="0"/>
    <w:pPr>
      <w:spacing w:before="0" w:beforeLines="0" w:after="0" w:afterLines="0"/>
      <w:outlineLvl w:val="9"/>
    </w:pPr>
    <w:rPr>
      <w:rFonts w:ascii="宋体" w:eastAsia="宋体"/>
    </w:rPr>
  </w:style>
  <w:style w:type="paragraph" w:customStyle="1" w:styleId="148">
    <w:name w:val="标准文件_二级无标题"/>
    <w:basedOn w:val="55"/>
    <w:qFormat/>
    <w:uiPriority w:val="0"/>
    <w:pPr>
      <w:spacing w:before="0" w:beforeLines="0" w:after="0" w:afterLines="0"/>
      <w:outlineLvl w:val="9"/>
    </w:pPr>
    <w:rPr>
      <w:rFonts w:ascii="宋体" w:eastAsia="宋体"/>
    </w:rPr>
  </w:style>
  <w:style w:type="paragraph" w:customStyle="1" w:styleId="149">
    <w:name w:val="标准_四级无标题"/>
    <w:basedOn w:val="85"/>
    <w:next w:val="46"/>
    <w:qFormat/>
    <w:uiPriority w:val="0"/>
    <w:rPr>
      <w:rFonts w:eastAsia="宋体"/>
    </w:rPr>
  </w:style>
  <w:style w:type="paragraph" w:customStyle="1" w:styleId="150">
    <w:name w:val="标准文件_四级无标题"/>
    <w:basedOn w:val="85"/>
    <w:qFormat/>
    <w:uiPriority w:val="0"/>
    <w:pPr>
      <w:spacing w:before="0" w:beforeLines="0" w:after="0" w:afterLines="0"/>
      <w:outlineLvl w:val="9"/>
    </w:pPr>
    <w:rPr>
      <w:rFonts w:ascii="宋体" w:hAnsi="黑体" w:eastAsia="宋体"/>
      <w:szCs w:val="52"/>
    </w:rPr>
  </w:style>
  <w:style w:type="paragraph" w:customStyle="1" w:styleId="151">
    <w:name w:val="标准文件_大写罗马数字编号列项"/>
    <w:basedOn w:val="46"/>
    <w:qFormat/>
    <w:uiPriority w:val="0"/>
    <w:pPr>
      <w:numPr>
        <w:ilvl w:val="0"/>
        <w:numId w:val="23"/>
      </w:numPr>
      <w:ind w:firstLine="0" w:firstLineChars="0"/>
    </w:pPr>
    <w:rPr>
      <w:rFonts w:ascii="Times New Roman" w:cs="Arial"/>
      <w:szCs w:val="28"/>
    </w:rPr>
  </w:style>
  <w:style w:type="paragraph" w:customStyle="1" w:styleId="152">
    <w:name w:val="标准文件_小写罗马数字编号列项"/>
    <w:basedOn w:val="46"/>
    <w:qFormat/>
    <w:uiPriority w:val="0"/>
    <w:pPr>
      <w:numPr>
        <w:ilvl w:val="0"/>
        <w:numId w:val="24"/>
      </w:numPr>
      <w:ind w:firstLine="0" w:firstLineChars="0"/>
    </w:pPr>
    <w:rPr>
      <w:rFonts w:cs="Arial"/>
      <w:szCs w:val="28"/>
    </w:rPr>
  </w:style>
  <w:style w:type="paragraph" w:customStyle="1" w:styleId="153">
    <w:name w:val="标准文件_附录标题"/>
    <w:basedOn w:val="65"/>
    <w:qFormat/>
    <w:uiPriority w:val="0"/>
    <w:pPr>
      <w:numPr>
        <w:ilvl w:val="0"/>
        <w:numId w:val="0"/>
      </w:numPr>
      <w:spacing w:after="280"/>
      <w:outlineLvl w:val="9"/>
    </w:pPr>
  </w:style>
  <w:style w:type="paragraph" w:customStyle="1" w:styleId="154">
    <w:name w:val="标准文件_二级项"/>
    <w:qFormat/>
    <w:uiPriority w:val="0"/>
    <w:rPr>
      <w:rFonts w:ascii="宋体" w:hAnsi="Times New Roman" w:eastAsia="宋体" w:cs="Times New Roman"/>
      <w:sz w:val="21"/>
      <w:lang w:val="en-US" w:eastAsia="zh-CN" w:bidi="ar-SA"/>
    </w:rPr>
  </w:style>
  <w:style w:type="paragraph" w:customStyle="1" w:styleId="155">
    <w:name w:val="标准文件_三级项"/>
    <w:basedOn w:val="1"/>
    <w:qFormat/>
    <w:uiPriority w:val="0"/>
    <w:pPr>
      <w:numPr>
        <w:ilvl w:val="2"/>
        <w:numId w:val="21"/>
      </w:numPr>
      <w:tabs>
        <w:tab w:val="left" w:pos="1277"/>
      </w:tabs>
      <w:spacing w:line="300" w:lineRule="exact"/>
    </w:pPr>
    <w:rPr>
      <w:rFonts w:ascii="Times New Roman" w:hAnsi="Times New Roman"/>
    </w:rPr>
  </w:style>
  <w:style w:type="paragraph" w:customStyle="1" w:styleId="156">
    <w:name w:val="图表脚注说明"/>
    <w:basedOn w:val="1"/>
    <w:next w:val="46"/>
    <w:qFormat/>
    <w:uiPriority w:val="0"/>
    <w:pPr>
      <w:numPr>
        <w:ilvl w:val="0"/>
        <w:numId w:val="25"/>
      </w:numPr>
      <w:adjustRightInd/>
      <w:spacing w:line="240" w:lineRule="auto"/>
    </w:pPr>
    <w:rPr>
      <w:rFonts w:ascii="宋体" w:hAnsi="Times New Roman"/>
      <w:sz w:val="18"/>
      <w:szCs w:val="18"/>
    </w:rPr>
  </w:style>
  <w:style w:type="paragraph" w:customStyle="1" w:styleId="157">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58">
    <w:name w:val="标准文件_索引字母"/>
    <w:next w:val="46"/>
    <w:qFormat/>
    <w:uiPriority w:val="0"/>
    <w:pPr>
      <w:jc w:val="center"/>
    </w:pPr>
    <w:rPr>
      <w:rFonts w:ascii="宋体" w:hAnsi="宋体" w:eastAsia="Times New Roman" w:cs="Times New Roman"/>
      <w:b/>
      <w:kern w:val="2"/>
      <w:sz w:val="21"/>
      <w:lang w:val="en-US" w:eastAsia="zh-CN" w:bidi="ar-SA"/>
    </w:rPr>
  </w:style>
  <w:style w:type="paragraph" w:customStyle="1" w:styleId="159">
    <w:name w:val="标准文件_附录前"/>
    <w:next w:val="4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6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61">
    <w:name w:val="标准文件_表格"/>
    <w:basedOn w:val="46"/>
    <w:qFormat/>
    <w:uiPriority w:val="0"/>
    <w:pPr>
      <w:ind w:firstLine="0" w:firstLineChars="0"/>
      <w:jc w:val="center"/>
    </w:pPr>
    <w:rPr>
      <w:sz w:val="18"/>
    </w:rPr>
  </w:style>
  <w:style w:type="paragraph" w:customStyle="1" w:styleId="162">
    <w:name w:val="标准文件_注："/>
    <w:next w:val="4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6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64">
    <w:name w:val="标准文件_示例："/>
    <w:next w:val="16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65">
    <w:name w:val="标准文件_示例内容"/>
    <w:basedOn w:val="46"/>
    <w:qFormat/>
    <w:uiPriority w:val="0"/>
    <w:pPr>
      <w:ind w:firstLine="420"/>
    </w:pPr>
    <w:rPr>
      <w:sz w:val="18"/>
    </w:rPr>
  </w:style>
  <w:style w:type="paragraph" w:customStyle="1" w:styleId="166">
    <w:name w:val="标准文件_示例×："/>
    <w:basedOn w:val="1"/>
    <w:next w:val="165"/>
    <w:qFormat/>
    <w:uiPriority w:val="0"/>
    <w:pPr>
      <w:widowControl/>
      <w:numPr>
        <w:ilvl w:val="0"/>
        <w:numId w:val="29"/>
      </w:numPr>
      <w:adjustRightInd/>
      <w:spacing w:line="240" w:lineRule="auto"/>
    </w:pPr>
    <w:rPr>
      <w:rFonts w:ascii="宋体" w:hAnsi="Times New Roman"/>
      <w:kern w:val="0"/>
      <w:sz w:val="18"/>
      <w:szCs w:val="18"/>
    </w:rPr>
  </w:style>
  <w:style w:type="paragraph" w:customStyle="1" w:styleId="167">
    <w:name w:val="标准文件_表格续"/>
    <w:basedOn w:val="46"/>
    <w:next w:val="46"/>
    <w:qFormat/>
    <w:uiPriority w:val="0"/>
    <w:pPr>
      <w:jc w:val="center"/>
    </w:pPr>
    <w:rPr>
      <w:rFonts w:ascii="黑体" w:hAnsi="黑体" w:eastAsia="黑体"/>
    </w:rPr>
  </w:style>
  <w:style w:type="paragraph" w:customStyle="1" w:styleId="168">
    <w:name w:val="标准文件_二级项2"/>
    <w:basedOn w:val="46"/>
    <w:qFormat/>
    <w:uiPriority w:val="0"/>
    <w:pPr>
      <w:numPr>
        <w:ilvl w:val="1"/>
        <w:numId w:val="21"/>
      </w:numPr>
      <w:tabs>
        <w:tab w:val="left" w:pos="1277"/>
      </w:tabs>
      <w:ind w:firstLine="0" w:firstLineChars="0"/>
    </w:pPr>
  </w:style>
  <w:style w:type="paragraph" w:customStyle="1" w:styleId="169">
    <w:name w:val="标准文件_三级项2"/>
    <w:basedOn w:val="46"/>
    <w:qFormat/>
    <w:uiPriority w:val="0"/>
    <w:pPr>
      <w:numPr>
        <w:ilvl w:val="0"/>
        <w:numId w:val="30"/>
      </w:numPr>
      <w:spacing w:line="300" w:lineRule="exact"/>
      <w:ind w:firstLineChars="0"/>
    </w:pPr>
    <w:rPr>
      <w:rFonts w:ascii="Times New Roman"/>
    </w:rPr>
  </w:style>
  <w:style w:type="paragraph" w:customStyle="1" w:styleId="170">
    <w:name w:val="标准文件_一级项2"/>
    <w:basedOn w:val="46"/>
    <w:qFormat/>
    <w:uiPriority w:val="0"/>
    <w:pPr>
      <w:numPr>
        <w:ilvl w:val="0"/>
        <w:numId w:val="31"/>
      </w:numPr>
      <w:spacing w:line="300" w:lineRule="exact"/>
      <w:ind w:firstLineChars="0"/>
    </w:pPr>
    <w:rPr>
      <w:rFonts w:ascii="Times New Roman"/>
    </w:rPr>
  </w:style>
  <w:style w:type="paragraph" w:customStyle="1" w:styleId="171">
    <w:name w:val="标准文件_提示"/>
    <w:basedOn w:val="46"/>
    <w:next w:val="46"/>
    <w:qFormat/>
    <w:uiPriority w:val="0"/>
    <w:pPr>
      <w:ind w:firstLine="420"/>
    </w:pPr>
    <w:rPr>
      <w:rFonts w:ascii="黑体" w:eastAsia="黑体"/>
    </w:rPr>
  </w:style>
  <w:style w:type="paragraph" w:customStyle="1" w:styleId="17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73">
    <w:name w:val="其他发布日期"/>
    <w:basedOn w:val="105"/>
    <w:qFormat/>
    <w:uiPriority w:val="0"/>
    <w:pPr>
      <w:framePr w:w="3997" w:h="471" w:hRule="exact" w:vSpace="181" w:wrap="around" w:vAnchor="page" w:hAnchor="page" w:x="1419" w:y="14097"/>
    </w:pPr>
  </w:style>
  <w:style w:type="paragraph" w:customStyle="1" w:styleId="174">
    <w:name w:val="其他实施日期"/>
    <w:basedOn w:val="137"/>
    <w:qFormat/>
    <w:uiPriority w:val="0"/>
    <w:pPr>
      <w:framePr w:w="3997" w:h="471" w:hRule="exact" w:vSpace="181" w:vAnchor="page" w:hAnchor="page" w:x="7089" w:y="14097"/>
    </w:pPr>
  </w:style>
  <w:style w:type="paragraph" w:customStyle="1" w:styleId="175">
    <w:name w:val="标准文件_文件编号"/>
    <w:basedOn w:val="46"/>
    <w:qFormat/>
    <w:uiPriority w:val="0"/>
    <w:pPr>
      <w:framePr w:w="9356" w:h="624" w:hRule="exact" w:hSpace="181" w:vSpace="181" w:wrap="around" w:vAnchor="page" w:hAnchor="page" w:x="1419" w:y="3284"/>
      <w:wordWrap w:val="0"/>
      <w:spacing w:line="280" w:lineRule="exact"/>
      <w:ind w:firstLine="0" w:firstLineChars="0"/>
      <w:jc w:val="right"/>
    </w:pPr>
    <w:rPr>
      <w:rFonts w:ascii="黑体" w:eastAsia="黑体"/>
      <w:bCs/>
      <w:sz w:val="28"/>
      <w:szCs w:val="28"/>
    </w:rPr>
  </w:style>
  <w:style w:type="paragraph" w:customStyle="1" w:styleId="176">
    <w:name w:val="标准文件_替换文件编号"/>
    <w:basedOn w:val="175"/>
    <w:qFormat/>
    <w:uiPriority w:val="0"/>
    <w:pPr>
      <w:spacing w:before="57"/>
    </w:pPr>
    <w:rPr>
      <w:sz w:val="21"/>
    </w:rPr>
  </w:style>
  <w:style w:type="paragraph" w:customStyle="1" w:styleId="177">
    <w:name w:val="标准文件_文件名称"/>
    <w:basedOn w:val="46"/>
    <w:next w:val="46"/>
    <w:qFormat/>
    <w:uiPriority w:val="0"/>
    <w:pPr>
      <w:framePr w:w="9639" w:h="6976" w:hRule="exact" w:wrap="around" w:vAnchor="page" w:hAnchor="page" w:y="6408"/>
      <w:spacing w:line="700" w:lineRule="exact"/>
      <w:ind w:firstLine="0" w:firstLineChars="0"/>
      <w:jc w:val="center"/>
    </w:pPr>
    <w:rPr>
      <w:rFonts w:ascii="黑体" w:hAnsi="黑体" w:eastAsia="黑体"/>
      <w:bCs/>
      <w:sz w:val="52"/>
    </w:rPr>
  </w:style>
  <w:style w:type="paragraph" w:customStyle="1" w:styleId="178">
    <w:name w:val="标准文件_附录图标号"/>
    <w:basedOn w:val="46"/>
    <w:next w:val="4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79">
    <w:name w:val="标准文件_附录表标号"/>
    <w:basedOn w:val="46"/>
    <w:next w:val="46"/>
    <w:qFormat/>
    <w:uiPriority w:val="0"/>
    <w:pPr>
      <w:numPr>
        <w:ilvl w:val="0"/>
        <w:numId w:val="5"/>
      </w:numPr>
      <w:spacing w:line="14" w:lineRule="exact"/>
      <w:ind w:firstLine="0" w:firstLineChars="0"/>
      <w:jc w:val="center"/>
    </w:pPr>
    <w:rPr>
      <w:rFonts w:eastAsia="黑体"/>
      <w:vanish/>
      <w:sz w:val="2"/>
    </w:rPr>
  </w:style>
  <w:style w:type="paragraph" w:customStyle="1" w:styleId="180">
    <w:name w:val="标准文件_引言一级条标题"/>
    <w:basedOn w:val="46"/>
    <w:next w:val="46"/>
    <w:qFormat/>
    <w:uiPriority w:val="0"/>
    <w:pPr>
      <w:numPr>
        <w:ilvl w:val="1"/>
        <w:numId w:val="8"/>
      </w:numPr>
      <w:spacing w:before="50" w:beforeLines="50" w:after="50" w:afterLines="50"/>
      <w:ind w:firstLineChars="0"/>
    </w:pPr>
    <w:rPr>
      <w:rFonts w:ascii="黑体" w:eastAsia="黑体"/>
    </w:rPr>
  </w:style>
  <w:style w:type="paragraph" w:customStyle="1" w:styleId="181">
    <w:name w:val="标准文件_引言二级条标题"/>
    <w:basedOn w:val="46"/>
    <w:next w:val="46"/>
    <w:qFormat/>
    <w:uiPriority w:val="0"/>
    <w:pPr>
      <w:numPr>
        <w:ilvl w:val="2"/>
        <w:numId w:val="8"/>
      </w:numPr>
      <w:spacing w:before="50" w:beforeLines="50" w:after="50" w:afterLines="50"/>
      <w:ind w:firstLineChars="0"/>
    </w:pPr>
    <w:rPr>
      <w:rFonts w:ascii="黑体" w:eastAsia="黑体"/>
    </w:rPr>
  </w:style>
  <w:style w:type="paragraph" w:customStyle="1" w:styleId="182">
    <w:name w:val="标准文件_引言三级条标题"/>
    <w:basedOn w:val="46"/>
    <w:next w:val="46"/>
    <w:qFormat/>
    <w:uiPriority w:val="0"/>
    <w:pPr>
      <w:numPr>
        <w:ilvl w:val="3"/>
        <w:numId w:val="8"/>
      </w:numPr>
      <w:spacing w:before="50" w:beforeLines="50" w:after="50" w:afterLines="50"/>
      <w:ind w:firstLineChars="0"/>
    </w:pPr>
    <w:rPr>
      <w:rFonts w:ascii="黑体" w:eastAsia="黑体"/>
    </w:rPr>
  </w:style>
  <w:style w:type="paragraph" w:customStyle="1" w:styleId="183">
    <w:name w:val="标准文件_引言四级条标题"/>
    <w:basedOn w:val="46"/>
    <w:next w:val="46"/>
    <w:qFormat/>
    <w:uiPriority w:val="0"/>
    <w:pPr>
      <w:numPr>
        <w:ilvl w:val="4"/>
        <w:numId w:val="8"/>
      </w:numPr>
      <w:spacing w:before="50" w:beforeLines="50" w:after="50" w:afterLines="50"/>
      <w:ind w:firstLineChars="0"/>
    </w:pPr>
    <w:rPr>
      <w:rFonts w:ascii="黑体" w:eastAsia="黑体"/>
    </w:rPr>
  </w:style>
  <w:style w:type="paragraph" w:customStyle="1" w:styleId="184">
    <w:name w:val="标准文件_引言五级条标题"/>
    <w:basedOn w:val="46"/>
    <w:next w:val="46"/>
    <w:qFormat/>
    <w:uiPriority w:val="0"/>
    <w:pPr>
      <w:numPr>
        <w:ilvl w:val="5"/>
        <w:numId w:val="8"/>
      </w:numPr>
      <w:spacing w:before="50" w:beforeLines="50" w:after="50" w:afterLines="50"/>
      <w:ind w:firstLineChars="0"/>
    </w:pPr>
    <w:rPr>
      <w:rFonts w:ascii="黑体" w:eastAsia="黑体"/>
    </w:rPr>
  </w:style>
  <w:style w:type="paragraph" w:customStyle="1" w:styleId="185">
    <w:name w:val="标准文件_注后"/>
    <w:basedOn w:val="46"/>
    <w:qFormat/>
    <w:uiPriority w:val="0"/>
    <w:pPr>
      <w:ind w:left="811" w:firstLine="0" w:firstLineChars="0"/>
    </w:pPr>
    <w:rPr>
      <w:sz w:val="18"/>
    </w:rPr>
  </w:style>
  <w:style w:type="paragraph" w:customStyle="1" w:styleId="186">
    <w:name w:val="标准文件_注X后"/>
    <w:basedOn w:val="46"/>
    <w:qFormat/>
    <w:uiPriority w:val="0"/>
    <w:pPr>
      <w:ind w:left="811" w:firstLine="0" w:firstLineChars="0"/>
    </w:pPr>
    <w:rPr>
      <w:sz w:val="18"/>
    </w:rPr>
  </w:style>
  <w:style w:type="paragraph" w:customStyle="1" w:styleId="187">
    <w:name w:val="标准文件_示例后"/>
    <w:basedOn w:val="46"/>
    <w:qFormat/>
    <w:uiPriority w:val="0"/>
    <w:pPr>
      <w:ind w:left="964" w:firstLine="0" w:firstLineChars="0"/>
    </w:pPr>
    <w:rPr>
      <w:sz w:val="18"/>
    </w:rPr>
  </w:style>
  <w:style w:type="paragraph" w:customStyle="1" w:styleId="188">
    <w:name w:val="标准文件_示例X后"/>
    <w:basedOn w:val="46"/>
    <w:link w:val="236"/>
    <w:qFormat/>
    <w:uiPriority w:val="0"/>
    <w:pPr>
      <w:ind w:left="1049" w:firstLine="0" w:firstLineChars="0"/>
    </w:pPr>
    <w:rPr>
      <w:sz w:val="18"/>
    </w:rPr>
  </w:style>
  <w:style w:type="paragraph" w:customStyle="1" w:styleId="189">
    <w:name w:val="标准文件_索引项"/>
    <w:basedOn w:val="46"/>
    <w:next w:val="46"/>
    <w:qFormat/>
    <w:uiPriority w:val="0"/>
    <w:pPr>
      <w:tabs>
        <w:tab w:val="right" w:leader="dot" w:pos="9356"/>
      </w:tabs>
      <w:ind w:left="210" w:hanging="210" w:firstLineChars="0"/>
      <w:jc w:val="left"/>
    </w:pPr>
  </w:style>
  <w:style w:type="paragraph" w:customStyle="1" w:styleId="190">
    <w:name w:val="标准文件_附录一级无标题"/>
    <w:basedOn w:val="67"/>
    <w:qFormat/>
    <w:uiPriority w:val="0"/>
    <w:pPr>
      <w:spacing w:before="0" w:beforeLines="0" w:after="0" w:afterLines="0" w:line="276" w:lineRule="auto"/>
      <w:outlineLvl w:val="9"/>
    </w:pPr>
    <w:rPr>
      <w:rFonts w:ascii="宋体" w:eastAsia="宋体"/>
    </w:rPr>
  </w:style>
  <w:style w:type="paragraph" w:customStyle="1" w:styleId="191">
    <w:name w:val="标准文件_附录二级无标题"/>
    <w:basedOn w:val="68"/>
    <w:qFormat/>
    <w:uiPriority w:val="0"/>
    <w:pPr>
      <w:spacing w:before="0" w:beforeLines="0" w:after="0" w:afterLines="0" w:line="276" w:lineRule="auto"/>
      <w:outlineLvl w:val="9"/>
    </w:pPr>
    <w:rPr>
      <w:rFonts w:ascii="宋体" w:eastAsia="宋体"/>
    </w:rPr>
  </w:style>
  <w:style w:type="paragraph" w:customStyle="1" w:styleId="192">
    <w:name w:val="标准文件_附录三级无标题"/>
    <w:basedOn w:val="70"/>
    <w:qFormat/>
    <w:uiPriority w:val="0"/>
    <w:pPr>
      <w:spacing w:before="0" w:beforeLines="0" w:after="0" w:afterLines="0" w:line="276" w:lineRule="auto"/>
      <w:outlineLvl w:val="9"/>
    </w:pPr>
    <w:rPr>
      <w:rFonts w:ascii="宋体" w:eastAsia="宋体"/>
    </w:rPr>
  </w:style>
  <w:style w:type="paragraph" w:customStyle="1" w:styleId="193">
    <w:name w:val="标准文件_附录四级无标题"/>
    <w:basedOn w:val="71"/>
    <w:qFormat/>
    <w:uiPriority w:val="0"/>
    <w:pPr>
      <w:spacing w:before="0" w:beforeLines="0" w:after="0" w:afterLines="0" w:line="276" w:lineRule="auto"/>
      <w:outlineLvl w:val="9"/>
    </w:pPr>
    <w:rPr>
      <w:rFonts w:ascii="宋体" w:eastAsia="宋体"/>
    </w:rPr>
  </w:style>
  <w:style w:type="paragraph" w:customStyle="1" w:styleId="194">
    <w:name w:val="标准文件_附录五级无标题"/>
    <w:basedOn w:val="73"/>
    <w:qFormat/>
    <w:uiPriority w:val="0"/>
    <w:pPr>
      <w:spacing w:before="0" w:beforeLines="0" w:after="0" w:afterLines="0" w:line="276" w:lineRule="auto"/>
      <w:outlineLvl w:val="9"/>
    </w:pPr>
    <w:rPr>
      <w:rFonts w:ascii="宋体" w:eastAsia="宋体"/>
    </w:rPr>
  </w:style>
  <w:style w:type="paragraph" w:customStyle="1" w:styleId="195">
    <w:name w:val="标准文件_引言一级无标题"/>
    <w:basedOn w:val="180"/>
    <w:next w:val="46"/>
    <w:qFormat/>
    <w:uiPriority w:val="0"/>
    <w:pPr>
      <w:spacing w:before="0" w:beforeLines="0" w:after="0" w:afterLines="0" w:line="276" w:lineRule="auto"/>
    </w:pPr>
    <w:rPr>
      <w:rFonts w:ascii="宋体" w:eastAsia="宋体"/>
    </w:rPr>
  </w:style>
  <w:style w:type="paragraph" w:customStyle="1" w:styleId="196">
    <w:name w:val="标准文件_引言二级无标题"/>
    <w:basedOn w:val="181"/>
    <w:next w:val="46"/>
    <w:qFormat/>
    <w:uiPriority w:val="0"/>
    <w:pPr>
      <w:spacing w:before="0" w:beforeLines="0" w:after="0" w:afterLines="0" w:line="276" w:lineRule="auto"/>
    </w:pPr>
    <w:rPr>
      <w:rFonts w:ascii="宋体" w:eastAsia="宋体"/>
    </w:rPr>
  </w:style>
  <w:style w:type="paragraph" w:customStyle="1" w:styleId="197">
    <w:name w:val="标准文件_引言三级无标题"/>
    <w:basedOn w:val="182"/>
    <w:qFormat/>
    <w:uiPriority w:val="0"/>
    <w:pPr>
      <w:spacing w:before="0" w:beforeLines="0" w:after="0" w:afterLines="0" w:line="276" w:lineRule="auto"/>
    </w:pPr>
    <w:rPr>
      <w:rFonts w:ascii="宋体" w:eastAsia="宋体"/>
    </w:rPr>
  </w:style>
  <w:style w:type="paragraph" w:customStyle="1" w:styleId="198">
    <w:name w:val="标准文件_引言四级无标题"/>
    <w:basedOn w:val="183"/>
    <w:next w:val="46"/>
    <w:qFormat/>
    <w:uiPriority w:val="0"/>
    <w:pPr>
      <w:spacing w:before="0" w:beforeLines="0" w:after="0" w:afterLines="0" w:line="276" w:lineRule="auto"/>
    </w:pPr>
    <w:rPr>
      <w:rFonts w:ascii="宋体" w:eastAsia="宋体"/>
    </w:rPr>
  </w:style>
  <w:style w:type="paragraph" w:customStyle="1" w:styleId="199">
    <w:name w:val="标准文件_引言五级无标题"/>
    <w:basedOn w:val="184"/>
    <w:next w:val="46"/>
    <w:qFormat/>
    <w:uiPriority w:val="0"/>
    <w:pPr>
      <w:spacing w:before="0" w:beforeLines="0" w:after="0" w:afterLines="0" w:line="276" w:lineRule="auto"/>
    </w:pPr>
    <w:rPr>
      <w:rFonts w:ascii="宋体" w:eastAsia="宋体"/>
    </w:rPr>
  </w:style>
  <w:style w:type="paragraph" w:customStyle="1" w:styleId="200">
    <w:name w:val="标准文件_索引标题"/>
    <w:basedOn w:val="53"/>
    <w:next w:val="46"/>
    <w:qFormat/>
    <w:uiPriority w:val="0"/>
    <w:rPr>
      <w:rFonts w:hAnsi="黑体"/>
    </w:rPr>
  </w:style>
  <w:style w:type="paragraph" w:customStyle="1" w:styleId="201">
    <w:name w:val="标准文件_脚注内容"/>
    <w:basedOn w:val="46"/>
    <w:qFormat/>
    <w:uiPriority w:val="0"/>
    <w:pPr>
      <w:ind w:left="400" w:leftChars="200" w:hanging="200" w:hangingChars="200"/>
    </w:pPr>
    <w:rPr>
      <w:sz w:val="15"/>
    </w:rPr>
  </w:style>
  <w:style w:type="paragraph" w:customStyle="1" w:styleId="202">
    <w:name w:val="标准文件_术语条一"/>
    <w:basedOn w:val="145"/>
    <w:next w:val="46"/>
    <w:qFormat/>
    <w:uiPriority w:val="0"/>
  </w:style>
  <w:style w:type="paragraph" w:customStyle="1" w:styleId="203">
    <w:name w:val="标准文件_术语条二"/>
    <w:basedOn w:val="148"/>
    <w:next w:val="46"/>
    <w:qFormat/>
    <w:uiPriority w:val="0"/>
  </w:style>
  <w:style w:type="paragraph" w:customStyle="1" w:styleId="204">
    <w:name w:val="标准文件_术语条三"/>
    <w:basedOn w:val="147"/>
    <w:next w:val="46"/>
    <w:qFormat/>
    <w:uiPriority w:val="0"/>
  </w:style>
  <w:style w:type="paragraph" w:customStyle="1" w:styleId="205">
    <w:name w:val="标准文件_术语条四"/>
    <w:basedOn w:val="150"/>
    <w:next w:val="46"/>
    <w:qFormat/>
    <w:uiPriority w:val="0"/>
  </w:style>
  <w:style w:type="paragraph" w:customStyle="1" w:styleId="206">
    <w:name w:val="标准文件_术语条五"/>
    <w:basedOn w:val="146"/>
    <w:next w:val="46"/>
    <w:qFormat/>
    <w:uiPriority w:val="0"/>
  </w:style>
  <w:style w:type="paragraph" w:customStyle="1" w:styleId="207">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208">
    <w:name w:val="修订1"/>
    <w:hidden/>
    <w:semiHidden/>
    <w:qFormat/>
    <w:uiPriority w:val="99"/>
    <w:rPr>
      <w:rFonts w:ascii="Calibri" w:hAnsi="Calibri" w:eastAsia="宋体" w:cs="Times New Roman"/>
      <w:kern w:val="2"/>
      <w:sz w:val="21"/>
      <w:szCs w:val="21"/>
      <w:lang w:val="en-US" w:eastAsia="zh-CN" w:bidi="ar-SA"/>
    </w:rPr>
  </w:style>
  <w:style w:type="paragraph" w:customStyle="1" w:styleId="209">
    <w:name w:val="修订2"/>
    <w:hidden/>
    <w:semiHidden/>
    <w:qFormat/>
    <w:uiPriority w:val="99"/>
    <w:rPr>
      <w:rFonts w:ascii="Calibri" w:hAnsi="Calibri" w:eastAsia="宋体" w:cs="Times New Roman"/>
      <w:kern w:val="2"/>
      <w:sz w:val="21"/>
      <w:szCs w:val="21"/>
      <w:lang w:val="en-US" w:eastAsia="zh-CN" w:bidi="ar-SA"/>
    </w:rPr>
  </w:style>
  <w:style w:type="paragraph" w:customStyle="1" w:styleId="210">
    <w:name w:val="修订3"/>
    <w:hidden/>
    <w:unhideWhenUsed/>
    <w:qFormat/>
    <w:uiPriority w:val="99"/>
    <w:rPr>
      <w:rFonts w:ascii="Calibri" w:hAnsi="Calibri" w:eastAsia="宋体" w:cs="Times New Roman"/>
      <w:kern w:val="2"/>
      <w:sz w:val="21"/>
      <w:szCs w:val="21"/>
      <w:lang w:val="en-US" w:eastAsia="zh-CN" w:bidi="ar-SA"/>
    </w:rPr>
  </w:style>
  <w:style w:type="paragraph" w:customStyle="1" w:styleId="211">
    <w:name w:val="Revision"/>
    <w:hidden/>
    <w:unhideWhenUsed/>
    <w:qFormat/>
    <w:uiPriority w:val="99"/>
    <w:rPr>
      <w:rFonts w:ascii="Calibri" w:hAnsi="Calibri" w:eastAsia="宋体" w:cs="Times New Roman"/>
      <w:kern w:val="2"/>
      <w:sz w:val="21"/>
      <w:szCs w:val="21"/>
      <w:lang w:val="en-US" w:eastAsia="zh-CN" w:bidi="ar-SA"/>
    </w:rPr>
  </w:style>
  <w:style w:type="character" w:customStyle="1" w:styleId="212">
    <w:name w:val="标题 1 字符"/>
    <w:link w:val="2"/>
    <w:qFormat/>
    <w:uiPriority w:val="0"/>
    <w:rPr>
      <w:b/>
      <w:bCs/>
      <w:kern w:val="44"/>
      <w:sz w:val="44"/>
      <w:szCs w:val="44"/>
    </w:rPr>
  </w:style>
  <w:style w:type="character" w:customStyle="1" w:styleId="213">
    <w:name w:val="标题 2 字符"/>
    <w:link w:val="3"/>
    <w:qFormat/>
    <w:uiPriority w:val="0"/>
    <w:rPr>
      <w:rFonts w:ascii="Arial" w:hAnsi="Arial" w:eastAsia="黑体"/>
      <w:b/>
      <w:bCs/>
      <w:kern w:val="2"/>
      <w:sz w:val="32"/>
      <w:szCs w:val="32"/>
    </w:rPr>
  </w:style>
  <w:style w:type="character" w:customStyle="1" w:styleId="214">
    <w:name w:val="标题 3 字符"/>
    <w:link w:val="4"/>
    <w:qFormat/>
    <w:uiPriority w:val="0"/>
    <w:rPr>
      <w:b/>
      <w:bCs/>
      <w:kern w:val="2"/>
      <w:sz w:val="32"/>
      <w:szCs w:val="32"/>
    </w:rPr>
  </w:style>
  <w:style w:type="character" w:customStyle="1" w:styleId="215">
    <w:name w:val="标题 4 字符"/>
    <w:link w:val="5"/>
    <w:qFormat/>
    <w:uiPriority w:val="0"/>
    <w:rPr>
      <w:rFonts w:ascii="Arial" w:hAnsi="Arial" w:eastAsia="黑体"/>
      <w:b/>
      <w:bCs/>
      <w:kern w:val="2"/>
      <w:sz w:val="28"/>
      <w:szCs w:val="28"/>
    </w:rPr>
  </w:style>
  <w:style w:type="character" w:customStyle="1" w:styleId="216">
    <w:name w:val="标题 5 字符"/>
    <w:link w:val="6"/>
    <w:qFormat/>
    <w:uiPriority w:val="0"/>
    <w:rPr>
      <w:b/>
      <w:bCs/>
      <w:kern w:val="2"/>
      <w:sz w:val="28"/>
      <w:szCs w:val="28"/>
    </w:rPr>
  </w:style>
  <w:style w:type="character" w:customStyle="1" w:styleId="217">
    <w:name w:val="标题 6 字符"/>
    <w:link w:val="7"/>
    <w:qFormat/>
    <w:uiPriority w:val="0"/>
    <w:rPr>
      <w:rFonts w:ascii="Arial" w:hAnsi="Arial" w:eastAsia="黑体"/>
      <w:b/>
      <w:bCs/>
      <w:kern w:val="2"/>
      <w:sz w:val="24"/>
      <w:szCs w:val="24"/>
    </w:rPr>
  </w:style>
  <w:style w:type="character" w:customStyle="1" w:styleId="218">
    <w:name w:val="标题 7 字符"/>
    <w:link w:val="8"/>
    <w:qFormat/>
    <w:uiPriority w:val="0"/>
    <w:rPr>
      <w:b/>
      <w:bCs/>
      <w:kern w:val="2"/>
      <w:sz w:val="24"/>
      <w:szCs w:val="24"/>
    </w:rPr>
  </w:style>
  <w:style w:type="character" w:customStyle="1" w:styleId="219">
    <w:name w:val="标题 8 字符"/>
    <w:link w:val="9"/>
    <w:qFormat/>
    <w:uiPriority w:val="0"/>
    <w:rPr>
      <w:rFonts w:ascii="Arial" w:hAnsi="Arial" w:eastAsia="黑体"/>
      <w:kern w:val="2"/>
      <w:sz w:val="24"/>
      <w:szCs w:val="24"/>
    </w:rPr>
  </w:style>
  <w:style w:type="character" w:customStyle="1" w:styleId="220">
    <w:name w:val="标题 9 字符"/>
    <w:link w:val="10"/>
    <w:qFormat/>
    <w:uiPriority w:val="0"/>
    <w:rPr>
      <w:rFonts w:ascii="Arial" w:hAnsi="Arial" w:eastAsia="黑体"/>
      <w:kern w:val="2"/>
      <w:sz w:val="21"/>
      <w:szCs w:val="21"/>
    </w:rPr>
  </w:style>
  <w:style w:type="character" w:customStyle="1" w:styleId="221">
    <w:name w:val="页眉 字符"/>
    <w:link w:val="19"/>
    <w:qFormat/>
    <w:uiPriority w:val="99"/>
    <w:rPr>
      <w:kern w:val="2"/>
      <w:sz w:val="18"/>
      <w:szCs w:val="18"/>
    </w:rPr>
  </w:style>
  <w:style w:type="character" w:customStyle="1" w:styleId="222">
    <w:name w:val="页脚 字符"/>
    <w:link w:val="18"/>
    <w:qFormat/>
    <w:uiPriority w:val="99"/>
    <w:rPr>
      <w:rFonts w:ascii="宋体"/>
      <w:kern w:val="2"/>
      <w:sz w:val="18"/>
      <w:szCs w:val="18"/>
    </w:rPr>
  </w:style>
  <w:style w:type="character" w:customStyle="1" w:styleId="223">
    <w:name w:val="批注框文本 字符"/>
    <w:link w:val="17"/>
    <w:semiHidden/>
    <w:qFormat/>
    <w:uiPriority w:val="99"/>
    <w:rPr>
      <w:kern w:val="2"/>
      <w:sz w:val="18"/>
      <w:szCs w:val="18"/>
    </w:rPr>
  </w:style>
  <w:style w:type="character" w:customStyle="1" w:styleId="224">
    <w:name w:val="引用 字符"/>
    <w:link w:val="38"/>
    <w:qFormat/>
    <w:uiPriority w:val="29"/>
    <w:rPr>
      <w:i/>
      <w:iCs/>
      <w:color w:val="000000"/>
      <w:kern w:val="2"/>
      <w:sz w:val="21"/>
      <w:szCs w:val="21"/>
    </w:rPr>
  </w:style>
  <w:style w:type="character" w:customStyle="1" w:styleId="225">
    <w:name w:val="标题 字符"/>
    <w:link w:val="27"/>
    <w:qFormat/>
    <w:uiPriority w:val="0"/>
    <w:rPr>
      <w:rFonts w:ascii="Arial" w:hAnsi="Arial" w:cs="Arial"/>
      <w:b/>
      <w:bCs/>
      <w:kern w:val="2"/>
      <w:sz w:val="32"/>
      <w:szCs w:val="32"/>
    </w:rPr>
  </w:style>
  <w:style w:type="character" w:customStyle="1" w:styleId="226">
    <w:name w:val="标准文件_发布"/>
    <w:qFormat/>
    <w:uiPriority w:val="0"/>
    <w:rPr>
      <w:rFonts w:ascii="黑体" w:eastAsia="黑体"/>
      <w:spacing w:val="0"/>
      <w:w w:val="100"/>
      <w:position w:val="3"/>
      <w:sz w:val="28"/>
    </w:rPr>
  </w:style>
  <w:style w:type="character" w:customStyle="1" w:styleId="227">
    <w:name w:val="正文文本 字符"/>
    <w:link w:val="14"/>
    <w:qFormat/>
    <w:uiPriority w:val="0"/>
    <w:rPr>
      <w:kern w:val="2"/>
      <w:sz w:val="21"/>
      <w:szCs w:val="21"/>
    </w:rPr>
  </w:style>
  <w:style w:type="character" w:customStyle="1" w:styleId="228">
    <w:name w:val="不明显参考1"/>
    <w:qFormat/>
    <w:uiPriority w:val="31"/>
    <w:rPr>
      <w:smallCaps/>
      <w:color w:val="C0504D"/>
      <w:u w:val="single"/>
    </w:rPr>
  </w:style>
  <w:style w:type="character" w:customStyle="1" w:styleId="229">
    <w:name w:val="脚注文本 字符"/>
    <w:link w:val="22"/>
    <w:semiHidden/>
    <w:qFormat/>
    <w:uiPriority w:val="0"/>
    <w:rPr>
      <w:rFonts w:ascii="宋体"/>
      <w:kern w:val="2"/>
      <w:sz w:val="18"/>
      <w:szCs w:val="18"/>
    </w:rPr>
  </w:style>
  <w:style w:type="character" w:customStyle="1" w:styleId="230">
    <w:name w:val="标准文件_图表脚注内容"/>
    <w:qFormat/>
    <w:uiPriority w:val="0"/>
    <w:rPr>
      <w:rFonts w:ascii="宋体" w:hAnsi="宋体" w:eastAsia="宋体" w:cs="Times New Roman"/>
      <w:spacing w:val="0"/>
      <w:sz w:val="18"/>
      <w:vertAlign w:val="superscript"/>
    </w:rPr>
  </w:style>
  <w:style w:type="character" w:customStyle="1" w:styleId="231">
    <w:name w:val="个人答复风格"/>
    <w:qFormat/>
    <w:uiPriority w:val="0"/>
    <w:rPr>
      <w:rFonts w:ascii="Arial" w:hAnsi="Arial" w:eastAsia="宋体" w:cs="Arial"/>
      <w:color w:val="auto"/>
      <w:spacing w:val="0"/>
      <w:sz w:val="20"/>
    </w:rPr>
  </w:style>
  <w:style w:type="character" w:customStyle="1" w:styleId="232">
    <w:name w:val="个人撰写风格"/>
    <w:qFormat/>
    <w:uiPriority w:val="0"/>
    <w:rPr>
      <w:rFonts w:ascii="Arial" w:hAnsi="Arial" w:eastAsia="宋体" w:cs="Arial"/>
      <w:color w:val="auto"/>
      <w:spacing w:val="0"/>
      <w:sz w:val="20"/>
    </w:rPr>
  </w:style>
  <w:style w:type="character" w:customStyle="1" w:styleId="233">
    <w:name w:val="标准文件_段 Char"/>
    <w:link w:val="46"/>
    <w:qFormat/>
    <w:uiPriority w:val="0"/>
    <w:rPr>
      <w:rFonts w:ascii="宋体" w:hAnsi="Times New Roman"/>
      <w:sz w:val="21"/>
    </w:rPr>
  </w:style>
  <w:style w:type="character" w:customStyle="1" w:styleId="234">
    <w:name w:val="Placeholder Text"/>
    <w:basedOn w:val="31"/>
    <w:semiHidden/>
    <w:qFormat/>
    <w:uiPriority w:val="99"/>
    <w:rPr>
      <w:color w:val="808080"/>
    </w:rPr>
  </w:style>
  <w:style w:type="character" w:customStyle="1" w:styleId="235">
    <w:name w:val="标准文件_来源"/>
    <w:basedOn w:val="31"/>
    <w:qFormat/>
    <w:uiPriority w:val="1"/>
    <w:rPr>
      <w:rFonts w:eastAsia="宋体"/>
      <w:sz w:val="21"/>
    </w:rPr>
  </w:style>
  <w:style w:type="character" w:customStyle="1" w:styleId="236">
    <w:name w:val="标准文件_示例X后 字符"/>
    <w:basedOn w:val="233"/>
    <w:link w:val="188"/>
    <w:qFormat/>
    <w:uiPriority w:val="0"/>
    <w:rPr>
      <w:rFonts w:ascii="宋体" w:hAnsi="Times New Roman"/>
      <w:sz w:val="18"/>
    </w:rPr>
  </w:style>
  <w:style w:type="character" w:customStyle="1" w:styleId="237">
    <w:name w:val="发布"/>
    <w:basedOn w:val="31"/>
    <w:qFormat/>
    <w:uiPriority w:val="0"/>
    <w:rPr>
      <w:rFonts w:ascii="黑体" w:eastAsia="黑体"/>
      <w:spacing w:val="85"/>
      <w:w w:val="100"/>
      <w:position w:val="3"/>
      <w:sz w:val="28"/>
      <w:szCs w:val="28"/>
    </w:rPr>
  </w:style>
  <w:style w:type="character" w:customStyle="1" w:styleId="238">
    <w:name w:val="批注文字 字符"/>
    <w:basedOn w:val="31"/>
    <w:link w:val="13"/>
    <w:qFormat/>
    <w:uiPriority w:val="99"/>
    <w:rPr>
      <w:kern w:val="2"/>
      <w:sz w:val="21"/>
      <w:szCs w:val="21"/>
    </w:rPr>
  </w:style>
  <w:style w:type="character" w:customStyle="1" w:styleId="239">
    <w:name w:val="批注主题 字符"/>
    <w:basedOn w:val="238"/>
    <w:link w:val="28"/>
    <w:semiHidden/>
    <w:qFormat/>
    <w:uiPriority w:val="99"/>
    <w:rPr>
      <w:b/>
      <w:bCs/>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Program%20Files%20(x86)\StandardEditor\template\&#34892;&#19994;&#26631;&#20934;.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Info spid="_x0000_s102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行业标准.dotx</Template>
  <Company>PCMI</Company>
  <Pages>9</Pages>
  <Words>6301</Words>
  <Characters>6629</Characters>
  <Lines>65</Lines>
  <Paragraphs>18</Paragraphs>
  <TotalTime>2</TotalTime>
  <ScaleCrop>false</ScaleCrop>
  <LinksUpToDate>false</LinksUpToDate>
  <CharactersWithSpaces>0</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2024-08-13T22:39:00Z</dcterms:created>
  <dc:creator>汪代俊（公文收发）</dc:creator>
  <dc:description>&lt;config cover="true" show_menu="true" version="1.0.0" doctype="SDKXY"&gt;_x000d_
&lt;/config&gt;</dc:description>
  <cp:lastModifiedBy>user</cp:lastModifiedBy>
  <cp:lastPrinted>2025-02-18T17:36:00Z</cp:lastPrinted>
  <dcterms:modified xsi:type="dcterms:W3CDTF">2025-02-21T10:45:39Z</dcterms:modified>
  <dc:title>行业标准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行业标准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2052-11.8.2.10290</vt:lpwstr>
  </property>
  <property fmtid="{D5CDD505-2E9C-101B-9397-08002B2CF9AE}" pid="15" name="ICV">
    <vt:lpwstr>D40CF1174F554333B153132C1EDED4F5_13</vt:lpwstr>
  </property>
  <property fmtid="{D5CDD505-2E9C-101B-9397-08002B2CF9AE}" pid="16" name="KSOTemplateDocerSaveRecord">
    <vt:lpwstr>eyJoZGlkIjoiNjk3Y2RlNmQ2ZjY4Yjk4ZWU1MTc0OWZlNDJjMTg5ZTUiLCJ1c2VySWQiOiI1NzY0Mzg3NzkifQ==</vt:lpwstr>
  </property>
</Properties>
</file>